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9418" w:type="dxa"/>
        <w:jc w:val="left"/>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136"/>
        <w:gridCol w:w="3135"/>
        <w:gridCol w:w="3147"/>
      </w:tblGrid>
      <w:tr>
        <w:trPr>
          <w:trHeight w:val="233" w:hRule="atLeast"/>
        </w:trPr>
        <w:tc>
          <w:tcPr>
            <w:tcW w:w="9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18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375" w:hRule="atLeast"/>
        </w:trPr>
        <w:tc>
          <w:tcPr>
            <w:tcW w:w="313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135"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392" w:hRule="atLeast"/>
        </w:trPr>
        <w:tc>
          <w:tcPr>
            <w:tcW w:w="3136" w:type="dxa"/>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1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様式第５－（ロ）－</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bookmarkStart w:id="0" w:name="_GoBack"/>
      <w:bookmarkEnd w:id="0"/>
    </w:p>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Arial" w:hAnsi="Arial" w:eastAsia="Arial"/>
          <w:b w:val="0"/>
          <w:i w:val="0"/>
          <w:smallCaps w:val="0"/>
          <w:strike w:val="0"/>
          <w:color w:val="000000"/>
          <w:sz w:val="22"/>
          <w:u w:val="none" w:color="auto"/>
          <w:shd w:val="clear" w:color="auto" w:fill="auto"/>
          <w:vertAlign w:val="baseline"/>
        </w:rPr>
      </w:pPr>
    </w:p>
    <w:tbl>
      <w:tblPr>
        <w:tblStyle w:val="21"/>
        <w:tblW w:w="9644" w:type="dxa"/>
        <w:jc w:val="lef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644"/>
      </w:tblGrid>
      <w:tr>
        <w:trPr>
          <w:trHeight w:val="10033" w:hRule="atLeast"/>
        </w:trPr>
        <w:tc>
          <w:tcPr>
            <w:tcW w:w="9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中小企業信用保険法第２条第５項第５号の規定による認定申請書（ロ－</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6271"/>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令和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2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倉吉</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市長　　　</w:t>
            </w:r>
            <w:r>
              <w:rPr>
                <w:rFonts w:hint="eastAsia" w:ascii="ＭＳ ゴシック" w:hAnsi="ＭＳ ゴシック" w:eastAsia="ＭＳ ゴシック"/>
                <w:b w:val="0"/>
                <w:i w:val="0"/>
                <w:smallCaps w:val="0"/>
                <w:strike w:val="0"/>
                <w:color w:val="000000"/>
                <w:sz w:val="20"/>
                <w:u w:val="none" w:color="auto"/>
                <w:shd w:val="clear" w:color="auto" w:fill="auto"/>
                <w:vertAlign w:val="baseline"/>
              </w:rPr>
              <w:t>広田　一恭</w:t>
            </w: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殿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440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【申請者】</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住　所　　　　　　　　　　　　　　　　　　</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20"/>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0"/>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20"/>
                <w:u w:val="single" w:color="auto"/>
                <w:shd w:val="clear" w:color="auto" w:fill="auto"/>
                <w:vertAlign w:val="baseline"/>
              </w:rPr>
              <w:t>氏　名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21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Style w:val="22"/>
              <w:tblW w:w="8504" w:type="dxa"/>
              <w:jc w:val="left"/>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2834"/>
              <w:gridCol w:w="2835"/>
              <w:gridCol w:w="2835"/>
            </w:tblGrid>
            <w:tr>
              <w:trPr>
                <w:trHeight w:val="281" w:hRule="atLeast"/>
              </w:trPr>
              <w:tc>
                <w:tcPr>
                  <w:tcW w:w="283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2835"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280" w:hRule="atLeast"/>
              </w:trPr>
              <w:tc>
                <w:tcPr>
                  <w:tcW w:w="2834"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2835" w:type="dxa"/>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21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40" w:lineRule="auto"/>
              <w:ind w:left="279" w:right="0" w:hanging="38"/>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keepNext w:val="0"/>
              <w:keepLines w:val="0"/>
              <w:pageBreakBefore w:val="0"/>
              <w:widowControl w:val="0"/>
              <w:shd w:val="clear" w:color="auto" w:fill="auto"/>
              <w:spacing w:before="0" w:beforeLines="0" w:beforeAutospacing="0" w:after="0" w:afterLines="0" w:afterAutospacing="0" w:line="240" w:lineRule="auto"/>
              <w:ind w:left="279" w:right="0" w:hanging="38"/>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事業開始年月日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原油等の仕入単価の上昇（注２）</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singl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18"/>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E </w:t>
            </w:r>
          </w:p>
          <w:p>
            <w:pPr>
              <w:pStyle w:val="0"/>
              <w:keepNext w:val="0"/>
              <w:keepLines w:val="0"/>
              <w:pageBreakBefore w:val="0"/>
              <w:widowControl w:val="0"/>
              <w:shd w:val="clear" w:color="auto" w:fill="auto"/>
              <w:spacing w:before="0" w:beforeLines="0" w:beforeAutospacing="0" w:after="12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×100</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100</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上昇率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Ｅ：原油等の最近１か月間における平均仕入れ単価（令和　　年　　月）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p>
            <w:pPr>
              <w:pStyle w:val="0"/>
              <w:keepNext w:val="0"/>
              <w:keepLines w:val="0"/>
              <w:pageBreakBefore w:val="0"/>
              <w:widowControl w:val="0"/>
              <w:shd w:val="clear" w:color="auto" w:fill="auto"/>
              <w:spacing w:before="72"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ｅ：Ｅの期間に対応する前年１か月間の平均仕入れ単価（令和　　年　　月）</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p>
            <w:pPr>
              <w:pStyle w:val="0"/>
              <w:keepNext w:val="0"/>
              <w:keepLines w:val="0"/>
              <w:pageBreakBefore w:val="0"/>
              <w:widowControl w:val="0"/>
              <w:shd w:val="clear" w:color="auto" w:fill="auto"/>
              <w:spacing w:before="12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原油等が売上原価に占める割合（注２）</w:t>
            </w:r>
          </w:p>
          <w:p>
            <w:pPr>
              <w:pStyle w:val="0"/>
              <w:tabs>
                <w:tab w:val="center" w:leader="none" w:pos="4252"/>
                <w:tab w:val="right" w:leader="none" w:pos="8504"/>
              </w:tabs>
              <w:spacing w:line="280" w:lineRule="exact"/>
              <w:ind w:left="0" w:leftChars="0" w:firstLine="810" w:firstLineChars="450"/>
              <w:jc w:val="left"/>
              <w:rPr>
                <w:rFonts w:hint="default" w:ascii="ＭＳ ゴシック" w:hAnsi="ＭＳ ゴシック" w:eastAsia="ＭＳ ゴシック"/>
                <w:color w:val="000000"/>
                <w:sz w:val="18"/>
                <w:u w:val="single" w:color="auto"/>
              </w:rPr>
            </w:pPr>
            <w:r>
              <w:rPr>
                <w:rFonts w:hint="default" w:ascii="ＭＳ ゴシック" w:hAnsi="ＭＳ ゴシック" w:eastAsia="ＭＳ ゴシック"/>
                <w:color w:val="000000"/>
                <w:sz w:val="18"/>
                <w:u w:val="single" w:color="auto"/>
              </w:rPr>
              <w:t>Ｓ</w:t>
            </w:r>
            <w:r>
              <w:rPr>
                <w:rFonts w:hint="default" w:ascii="ＭＳ ゴシック" w:hAnsi="ＭＳ ゴシック" w:eastAsia="ＭＳ ゴシック"/>
                <w:color w:val="000000"/>
                <w:sz w:val="18"/>
              </w:rPr>
              <w:t xml:space="preserve">                                 </w:t>
            </w:r>
            <w:r>
              <w:rPr>
                <w:rFonts w:hint="default"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p>
          <w:p>
            <w:pPr>
              <w:pStyle w:val="0"/>
              <w:keepNext w:val="0"/>
              <w:keepLines w:val="0"/>
              <w:pageBreakBefore w:val="0"/>
              <w:widowControl w:val="0"/>
              <w:shd w:val="clear" w:color="auto" w:fill="auto"/>
              <w:spacing w:before="120" w:beforeLines="0" w:beforeAutospacing="0" w:after="0" w:afterLines="0" w:afterAutospacing="0" w:line="240" w:lineRule="auto"/>
              <w:ind w:left="0" w:leftChars="0" w:right="0" w:rightChars="0" w:firstLine="810" w:firstLineChars="45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color w:val="000000"/>
                <w:sz w:val="18"/>
              </w:rPr>
              <w:t>Ｃ</w:t>
            </w:r>
            <w:r>
              <w:rPr>
                <w:rFonts w:hint="default" w:ascii="ＭＳ ゴシック" w:hAnsi="ＭＳ ゴシック" w:eastAsia="ＭＳ ゴシック"/>
                <w:color w:val="000000"/>
                <w:sz w:val="18"/>
              </w:rPr>
              <w:t xml:space="preserv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×100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依存率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Ｃ：最近１か月間の売上原価（令和　　年　　月）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円（注４）</w:t>
            </w:r>
          </w:p>
          <w:p>
            <w:pPr>
              <w:pStyle w:val="0"/>
              <w:keepNext w:val="0"/>
              <w:keepLines w:val="0"/>
              <w:pageBreakBefore w:val="0"/>
              <w:widowControl w:val="0"/>
              <w:shd w:val="clear" w:color="auto" w:fill="auto"/>
              <w:spacing w:before="72"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singl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Ｓ：Ｃの売上原価に対応する原油等の仕入額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円（注４）</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10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③</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製品等価格への転嫁の状況（注３）</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18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A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single" w:color="auto"/>
                <w:shd w:val="clear" w:color="auto" w:fill="auto"/>
                <w:vertAlign w:val="baseline"/>
              </w:rPr>
              <w:t xml:space="preserve"> a </w:t>
            </w:r>
          </w:p>
          <w:p>
            <w:pPr>
              <w:pStyle w:val="0"/>
              <w:keepNext w:val="0"/>
              <w:keepLines w:val="0"/>
              <w:pageBreakBefore w:val="0"/>
              <w:widowControl w:val="0"/>
              <w:shd w:val="clear" w:color="auto" w:fill="auto"/>
              <w:spacing w:before="0" w:beforeLines="0" w:beforeAutospacing="0" w:after="60" w:afterLines="0" w:afterAutospacing="0" w:line="240" w:lineRule="auto"/>
              <w:ind w:left="0" w:leftChars="0" w:right="0" w:rightChars="0" w:firstLine="810" w:firstLineChars="45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B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b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Ｐ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Ｐ＝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240" w:lineRule="auto"/>
              <w:ind w:left="0" w:right="105"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Ａ：最近３か月間の原油等の仕入額（令和　　年　　月～令和　　年　　月）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p>
            <w:pPr>
              <w:pStyle w:val="0"/>
              <w:keepNext w:val="0"/>
              <w:keepLines w:val="0"/>
              <w:pageBreakBefore w:val="0"/>
              <w:widowControl w:val="0"/>
              <w:shd w:val="clear" w:color="auto" w:fill="auto"/>
              <w:spacing w:before="0" w:beforeLines="0" w:beforeAutospacing="0" w:after="0" w:afterLines="0" w:afterAutospacing="0" w:line="240" w:lineRule="auto"/>
              <w:ind w:left="0" w:right="105"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ａ：Ａの期間に対応する前年３か月間の原油等の仕入額</w:t>
            </w:r>
          </w:p>
          <w:p>
            <w:pPr>
              <w:pStyle w:val="0"/>
              <w:keepNext w:val="0"/>
              <w:keepLines w:val="0"/>
              <w:pageBreakBefore w:val="0"/>
              <w:widowControl w:val="0"/>
              <w:shd w:val="clear" w:color="auto" w:fill="auto"/>
              <w:spacing w:before="0" w:beforeLines="0" w:beforeAutospacing="0" w:after="0" w:afterLines="0" w:afterAutospacing="0" w:line="240" w:lineRule="auto"/>
              <w:ind w:left="0" w:right="105" w:firstLine="72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（令和　　年　　月～令和　　年　　月）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p>
            <w:pPr>
              <w:pStyle w:val="0"/>
              <w:keepNext w:val="0"/>
              <w:keepLines w:val="0"/>
              <w:pageBreakBefore w:val="0"/>
              <w:widowControl w:val="0"/>
              <w:shd w:val="clear" w:color="auto" w:fill="auto"/>
              <w:spacing w:before="72" w:beforeLines="0" w:beforeAutospacing="0" w:after="0" w:afterLines="0" w:afterAutospacing="0" w:line="240" w:lineRule="auto"/>
              <w:ind w:left="0" w:right="105"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Ｂ：最近３か月間の売上高（令和　　年　　月～令和　　年　　月）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p>
            <w:pPr>
              <w:pStyle w:val="0"/>
              <w:keepNext w:val="0"/>
              <w:keepLines w:val="0"/>
              <w:pageBreakBefore w:val="0"/>
              <w:widowControl w:val="0"/>
              <w:shd w:val="clear" w:color="auto" w:fill="auto"/>
              <w:spacing w:before="0" w:beforeLines="0" w:beforeAutospacing="0" w:after="0" w:afterLines="0" w:afterAutospacing="0" w:line="240" w:lineRule="auto"/>
              <w:ind w:left="0" w:right="105"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ｂ：Ｂの期間に対応する前年３か月間の売上高</w:t>
            </w:r>
          </w:p>
          <w:p>
            <w:pPr>
              <w:pStyle w:val="0"/>
              <w:keepNext w:val="0"/>
              <w:keepLines w:val="0"/>
              <w:pageBreakBefore w:val="0"/>
              <w:widowControl w:val="0"/>
              <w:shd w:val="clear" w:color="auto" w:fill="auto"/>
              <w:spacing w:before="0" w:beforeLines="0" w:beforeAutospacing="0" w:after="0" w:afterLines="0" w:afterAutospacing="0" w:line="240" w:lineRule="auto"/>
              <w:ind w:left="0" w:right="105"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（令和　　年　　月～令和　　年　　月）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xml:space="preserve">  </w:t>
            </w:r>
            <w:r>
              <w:rPr>
                <w:rFonts w:hint="default" w:ascii="ＭＳ ゴシック" w:hAnsi="ＭＳ ゴシック" w:eastAsia="ＭＳ ゴシック"/>
                <w:b w:val="0"/>
                <w:i w:val="0"/>
                <w:smallCaps w:val="0"/>
                <w:strike w:val="0"/>
                <w:color w:val="000000"/>
                <w:sz w:val="18"/>
                <w:u w:val="single" w:color="auto"/>
                <w:shd w:val="clear" w:color="auto" w:fill="auto"/>
                <w:vertAlign w:val="baseline"/>
              </w:rPr>
              <w:t>　　　　　　円（注４）</w:t>
            </w:r>
          </w:p>
        </w:tc>
      </w:tr>
    </w:tbl>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注１</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　本様式は、１つの指定業種に属する事業のみを営んでいる場合、又は営んでいる複数の事業が全て指定業種に属する場合に使用する。</w:t>
      </w:r>
    </w:p>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注２</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　上昇率及び依存率が２０％以上となっていること。</w:t>
      </w:r>
    </w:p>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注３</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　Ｐ＞０となっていること。</w:t>
      </w:r>
    </w:p>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注４</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t>　申請者全体の値を記載する。</w:t>
      </w:r>
    </w:p>
    <w:p>
      <w:pPr>
        <w:pStyle w:val="0"/>
        <w:keepNext w:val="0"/>
        <w:keepLines w:val="0"/>
        <w:pageBreakBefore w:val="0"/>
        <w:widowControl w:val="0"/>
        <w:shd w:val="clear" w:color="auto" w:fill="auto"/>
        <w:spacing w:before="0" w:beforeLines="0" w:beforeAutospacing="0" w:after="0" w:afterLines="0" w:afterAutospacing="0" w:line="240" w:lineRule="auto"/>
        <w:ind w:left="509" w:right="0" w:hanging="509"/>
        <w:jc w:val="left"/>
        <w:rPr>
          <w:rFonts w:hint="default" w:ascii="ＭＳ Ｐゴシック" w:hAnsi="ＭＳ Ｐゴシック" w:eastAsia="ＭＳ Ｐ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993" w:right="0" w:hanging="1228"/>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（留意事項）</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本認定とは別に、金融機関及び信用保証協会による金融上の審査があります。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②</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　市長から認定を受けた日から３０日以内に金融機関又は信用保証協会に対して、保証の申込みを行うことが必要です。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第　　号</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令和</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年　　月　　日</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申請のとおり、相違ないことを認定します。</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36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（注）信用保証協会への申込期間：令和</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年　　月　　日</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から令和</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xml:space="preserve">   </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年　　月　　日</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まで</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540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認定者名</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倉吉</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市長</w:t>
      </w:r>
      <w:r>
        <w:rPr>
          <w:rFonts w:hint="eastAsia" w:ascii="ＭＳ ゴシック" w:hAnsi="ＭＳ ゴシック" w:eastAsia="ＭＳ ゴシック"/>
          <w:b w:val="0"/>
          <w:i w:val="0"/>
          <w:smallCaps w:val="0"/>
          <w:strike w:val="0"/>
          <w:color w:val="000000"/>
          <w:sz w:val="18"/>
          <w:u w:val="none" w:color="auto"/>
          <w:shd w:val="clear" w:color="auto" w:fill="auto"/>
          <w:vertAlign w:val="baseline"/>
        </w:rPr>
        <w:t>　広田　一恭</w:t>
      </w:r>
    </w:p>
    <w:sectPr>
      <w:headerReference r:id="rId5" w:type="first"/>
      <w:pgSz w:w="11906" w:h="16838"/>
      <w:pgMar w:top="680" w:right="1134" w:bottom="295" w:left="1134" w:header="680" w:footer="992" w:gutter="0"/>
      <w:pgNumType w:start="1"/>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bl>
    <w:tblPr>
      <w:tblStyle w:val="23"/>
      <w:tblW w:w="9498"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3355"/>
      <w:gridCol w:w="3071"/>
      <w:gridCol w:w="3072"/>
    </w:tblGrid>
    <w:tr>
      <w:trPr/>
      <w:tc>
        <w:tcPr>
          <w:tcW w:w="9498" w:type="dxa"/>
          <w:gridSpan w:val="3"/>
          <w:shd w:val="clear" w:color="auto" w:fill="F2F2F2"/>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center"/>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認定権者記載欄</w:t>
          </w:r>
        </w:p>
      </w:tc>
    </w:tr>
    <w:tr>
      <w:trPr>
        <w:trHeight w:val="401" w:hRule="atLeast"/>
      </w:trPr>
      <w:tc>
        <w:tcPr>
          <w:tcW w:w="335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tcBorders>
            <w:top w:val="none" w:color="auto" w:sz="0" w:space="0"/>
            <w:left w:val="single" w:color="000000" w:sz="12"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r>
      <w:trPr>
        <w:trHeight w:val="401" w:hRule="atLeast"/>
      </w:trPr>
      <w:tc>
        <w:tcPr>
          <w:tcW w:w="3355"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1"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c>
        <w:tcPr>
          <w:tcW w:w="3072" w:type="dxa"/>
          <w:vAlign w:val="top"/>
        </w:tcPr>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p>
      </w:tc>
    </w:tr>
  </w:tbl>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left"/>
      <w:rPr>
        <w:rFonts w:hint="default" w:ascii="ＭＳ ゴシック" w:hAnsi="ＭＳ ゴシック" w:eastAsia="ＭＳ ゴシック"/>
        <w:b w:val="0"/>
        <w:i w:val="0"/>
        <w:smallCaps w:val="0"/>
        <w:strike w:val="0"/>
        <w:color w:val="000000"/>
        <w:sz w:val="18"/>
        <w:u w:val="none" w:color="auto"/>
        <w:shd w:val="clear" w:color="auto" w:fill="auto"/>
        <w:vertAlign w:val="baseline"/>
      </w:rPr>
    </w:pP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様式第５－（ロ）－</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①</w:t>
    </w:r>
    <w:r>
      <w:rPr>
        <w:rFonts w:hint="default" w:ascii="ＭＳ ゴシック" w:hAnsi="ＭＳ ゴシック" w:eastAsia="ＭＳ ゴシック"/>
        <w:b w:val="0"/>
        <w:i w:val="0"/>
        <w:smallCaps w:val="0"/>
        <w:strike w:val="0"/>
        <w:color w:val="000000"/>
        <w:sz w:val="18"/>
        <w:u w:val="none" w:color="auto"/>
        <w:shd w:val="clear" w:color="auto" w:fill="auto"/>
        <w:vertAlign w:val="baseline"/>
      </w:rPr>
      <w:t>（原油高）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2" w:type="dxa"/>
        <w:right w:w="52"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108" w:type="dxa"/>
        <w:right w:w="108"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108" w:type="dxa"/>
        <w:right w:w="108" w:type="dxa"/>
      </w:tblCellMar>
    </w:tblPr>
    <w:trPr/>
    <w:tcPr/>
  </w:style>
  <w:style w:type="table" w:styleId="24" w:customStyle="1">
    <w:name w:val="7"/>
    <w:basedOn w:val="20"/>
    <w:next w:val="24"/>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11</Words>
  <Characters>964</Characters>
  <Application>JUST Note</Application>
  <Lines>68</Lines>
  <Paragraphs>43</Paragraphs>
  <CharactersWithSpaces>1516</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山枡 亘</cp:lastModifiedBy>
  <cp:lastPrinted>2025-08-18T02:49:43Z</cp:lastPrinted>
  <dcterms:modified xsi:type="dcterms:W3CDTF">2025-08-18T02:48:00Z</dcterms:modified>
  <cp:revision>3</cp:revision>
</cp:coreProperties>
</file>