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5527675</wp:posOffset>
                </wp:positionH>
                <wp:positionV relativeFrom="paragraph">
                  <wp:posOffset>-165735</wp:posOffset>
                </wp:positionV>
                <wp:extent cx="695325" cy="2952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95325" cy="295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b w:val="1"/>
                              </w:rPr>
                              <w:t>資料１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05pt;mso-position-vertical-relative:text;mso-position-horizontal-relative:text;position:absolute;height:23.25pt;mso-wrap-distance-top:0pt;width:54.75pt;mso-wrap-distance-left:5.65pt;margin-left:435.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rPr>
                      </w:pPr>
                      <w:r>
                        <w:rPr>
                          <w:rFonts w:hint="eastAsia"/>
                          <w:b w:val="1"/>
                        </w:rPr>
                        <w:t>資料１</w:t>
                      </w:r>
                    </w:p>
                  </w:txbxContent>
                </v:textbox>
                <v:imagedata o:title=""/>
                <w10:wrap type="none" anchorx="text" anchory="text"/>
              </v:shape>
            </w:pict>
          </mc:Fallback>
        </mc:AlternateContent>
      </w:r>
      <w:r>
        <w:rPr>
          <w:rFonts w:hint="eastAsia" w:ascii="ＭＳ 明朝" w:hAnsi="ＭＳ 明朝"/>
          <w:sz w:val="24"/>
        </w:rPr>
        <w:t>令和４年度事業計画（案）及び当初予算（案）について</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○令和４年度事業計画（案）</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鳥取県中部圏域の地域公共交通計画、地域公共交通利便増進実施計画の実施に係る連絡調整を行い、事業を実施する。</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関係機関と連携した利用促進活動を実施する。</w:t>
      </w:r>
    </w:p>
    <w:p>
      <w:pPr>
        <w:pStyle w:val="0"/>
        <w:ind w:left="630" w:leftChars="100" w:hanging="420" w:hangingChars="200"/>
        <w:rPr>
          <w:rFonts w:hint="default" w:ascii="ＭＳ ゴシック" w:hAnsi="ＭＳ ゴシック" w:eastAsia="ＭＳ ゴシック"/>
        </w:rPr>
      </w:pPr>
      <w:r>
        <w:rPr>
          <w:rFonts w:hint="eastAsia" w:ascii="ＭＳ ゴシック" w:hAnsi="ＭＳ ゴシック" w:eastAsia="ＭＳ ゴシック"/>
        </w:rPr>
        <w:t>◆　平成</w:t>
      </w:r>
      <w:r>
        <w:rPr>
          <w:rFonts w:hint="eastAsia" w:ascii="ＭＳ ゴシック" w:hAnsi="ＭＳ ゴシック" w:eastAsia="ＭＳ ゴシック"/>
        </w:rPr>
        <w:t>29</w:t>
      </w:r>
      <w:r>
        <w:rPr>
          <w:rFonts w:hint="eastAsia" w:ascii="ＭＳ ゴシック" w:hAnsi="ＭＳ ゴシック" w:eastAsia="ＭＳ ゴシック"/>
        </w:rPr>
        <w:t>年度に策定した「地域公共交通網形成計画（現</w:t>
      </w:r>
      <w:r>
        <w:rPr>
          <w:rFonts w:hint="eastAsia" w:ascii="ＭＳ ゴシック" w:hAnsi="ＭＳ ゴシック" w:eastAsia="ＭＳ ゴシック"/>
        </w:rPr>
        <w:t xml:space="preserve"> </w:t>
      </w:r>
      <w:r>
        <w:rPr>
          <w:rFonts w:hint="eastAsia" w:ascii="ＭＳ ゴシック" w:hAnsi="ＭＳ ゴシック" w:eastAsia="ＭＳ ゴシック"/>
        </w:rPr>
        <w:t>地域公共交通計画）」推進のための利用促進事業を実施する。</w:t>
      </w:r>
    </w:p>
    <w:p>
      <w:pPr>
        <w:pStyle w:val="0"/>
        <w:ind w:left="630" w:leftChars="100" w:hanging="420" w:hangingChars="200"/>
        <w:rPr>
          <w:rFonts w:hint="default" w:ascii="ＭＳ ゴシック" w:hAnsi="ＭＳ ゴシック" w:eastAsia="ＭＳ ゴシック"/>
          <w:sz w:val="20"/>
        </w:rPr>
      </w:pPr>
      <w:r>
        <w:rPr>
          <w:rFonts w:hint="eastAsia" w:ascii="ＭＳ ゴシック" w:hAnsi="ＭＳ ゴシック" w:eastAsia="ＭＳ ゴシック"/>
        </w:rPr>
        <w:t>◆　令和元年度に策定した「地域公共交通再編実施計画（現</w:t>
      </w:r>
      <w:r>
        <w:rPr>
          <w:rFonts w:hint="eastAsia" w:ascii="ＭＳ ゴシック" w:hAnsi="ＭＳ ゴシック" w:eastAsia="ＭＳ ゴシック"/>
        </w:rPr>
        <w:t xml:space="preserve"> </w:t>
      </w:r>
      <w:r>
        <w:rPr>
          <w:rFonts w:hint="eastAsia" w:ascii="ＭＳ ゴシック" w:hAnsi="ＭＳ ゴシック" w:eastAsia="ＭＳ ゴシック"/>
        </w:rPr>
        <w:t>地域公共交通利便増進実施計画）」推進のための再編事業を実施する。</w:t>
      </w:r>
    </w:p>
    <w:p>
      <w:pPr>
        <w:pStyle w:val="0"/>
        <w:ind w:left="630" w:leftChars="100" w:hanging="420" w:hangingChars="200"/>
        <w:rPr>
          <w:rFonts w:hint="default" w:ascii="ＭＳ ゴシック" w:hAnsi="ＭＳ ゴシック" w:eastAsia="ＭＳ ゴシック"/>
          <w:sz w:val="20"/>
        </w:rPr>
      </w:pPr>
      <w:r>
        <w:rPr>
          <w:rFonts w:hint="eastAsia" w:ascii="ＭＳ ゴシック" w:hAnsi="ＭＳ ゴシック" w:eastAsia="ＭＳ ゴシック"/>
        </w:rPr>
        <w:t>◆　次期地域公共交通計画の策定に向けた取組みを行う。</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○令和４年度当初予算（案）</w:t>
      </w:r>
    </w:p>
    <w:p>
      <w:pPr>
        <w:pStyle w:val="0"/>
        <w:rPr>
          <w:rFonts w:hint="default" w:ascii="ＭＳ ゴシック" w:hAnsi="ＭＳ ゴシック" w:eastAsia="ＭＳ ゴシック"/>
        </w:rPr>
      </w:pPr>
      <w:r>
        <w:rPr>
          <w:rFonts w:hint="eastAsia" w:ascii="ＭＳ ゴシック" w:hAnsi="ＭＳ ゴシック" w:eastAsia="ＭＳ ゴシック"/>
        </w:rPr>
        <w:t>１　歳入　　　　　　　　　　　　　　　　　　　　　　　　　　　　　　　　　　</w:t>
      </w:r>
      <w:r>
        <w:rPr>
          <w:rFonts w:hint="eastAsia" w:ascii="ＭＳ ゴシック" w:hAnsi="ＭＳ ゴシック" w:eastAsia="ＭＳ ゴシック"/>
        </w:rPr>
        <w:t>(</w:t>
      </w:r>
      <w:r>
        <w:rPr>
          <w:rFonts w:hint="eastAsia" w:ascii="ＭＳ ゴシック" w:hAnsi="ＭＳ ゴシック" w:eastAsia="ＭＳ ゴシック"/>
        </w:rPr>
        <w:t>単位：円</w:t>
      </w:r>
      <w:r>
        <w:rPr>
          <w:rFonts w:hint="eastAsia" w:ascii="ＭＳ ゴシック" w:hAnsi="ＭＳ ゴシック" w:eastAsia="ＭＳ ゴシック"/>
        </w:rPr>
        <w:t>)</w:t>
      </w:r>
    </w:p>
    <w:tbl>
      <w:tblPr>
        <w:tblStyle w:val="11"/>
        <w:tblW w:w="86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36"/>
        <w:gridCol w:w="1444"/>
        <w:gridCol w:w="1620"/>
        <w:gridCol w:w="4140"/>
      </w:tblGrid>
      <w:tr>
        <w:trPr/>
        <w:tc>
          <w:tcPr>
            <w:tcW w:w="1436"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款</w:t>
            </w:r>
          </w:p>
        </w:tc>
        <w:tc>
          <w:tcPr>
            <w:tcW w:w="1444"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項</w:t>
            </w:r>
          </w:p>
        </w:tc>
        <w:tc>
          <w:tcPr>
            <w:tcW w:w="16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目</w:t>
            </w:r>
          </w:p>
        </w:tc>
        <w:tc>
          <w:tcPr>
            <w:tcW w:w="414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内容</w:t>
            </w:r>
          </w:p>
        </w:tc>
      </w:tr>
      <w:tr>
        <w:trPr/>
        <w:tc>
          <w:tcPr>
            <w:tcW w:w="1436"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負担金</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472,000</w:t>
            </w:r>
          </w:p>
        </w:tc>
        <w:tc>
          <w:tcPr>
            <w:tcW w:w="1444"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負担金</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472,000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負担金</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472,000</w:t>
            </w:r>
          </w:p>
        </w:tc>
        <w:tc>
          <w:tcPr>
            <w:tcW w:w="4140" w:type="dxa"/>
            <w:shd w:val="clear" w:color="auto" w:fill="auto"/>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倉吉市</w:t>
            </w:r>
            <w:r>
              <w:rPr>
                <w:rFonts w:hint="eastAsia" w:ascii="ＭＳ ゴシック" w:hAnsi="ＭＳ ゴシック" w:eastAsia="ＭＳ ゴシック"/>
              </w:rPr>
              <w:t>326,000</w:t>
            </w:r>
            <w:r>
              <w:rPr>
                <w:rFonts w:hint="eastAsia" w:ascii="ＭＳ ゴシック" w:hAnsi="ＭＳ ゴシック" w:eastAsia="ＭＳ ゴシック"/>
              </w:rPr>
              <w:t>、三朝町</w:t>
            </w:r>
            <w:r>
              <w:rPr>
                <w:rFonts w:hint="eastAsia" w:ascii="ＭＳ ゴシック" w:hAnsi="ＭＳ ゴシック" w:eastAsia="ＭＳ ゴシック"/>
              </w:rPr>
              <w:t>48,000</w:t>
            </w:r>
          </w:p>
          <w:p>
            <w:pPr>
              <w:pStyle w:val="0"/>
              <w:rPr>
                <w:rFonts w:hint="default" w:ascii="ＭＳ ゴシック" w:hAnsi="ＭＳ ゴシック" w:eastAsia="ＭＳ ゴシック"/>
              </w:rPr>
            </w:pPr>
            <w:r>
              <w:rPr>
                <w:rFonts w:hint="eastAsia" w:ascii="ＭＳ ゴシック" w:hAnsi="ＭＳ ゴシック" w:eastAsia="ＭＳ ゴシック"/>
              </w:rPr>
              <w:t>湯梨浜町</w:t>
            </w:r>
            <w:r>
              <w:rPr>
                <w:rFonts w:hint="eastAsia" w:ascii="ＭＳ ゴシック" w:hAnsi="ＭＳ ゴシック" w:eastAsia="ＭＳ ゴシック"/>
              </w:rPr>
              <w:t>46,000</w:t>
            </w:r>
            <w:r>
              <w:rPr>
                <w:rFonts w:hint="eastAsia" w:ascii="ＭＳ ゴシック" w:hAnsi="ＭＳ ゴシック" w:eastAsia="ＭＳ ゴシック"/>
              </w:rPr>
              <w:t>、北栄町</w:t>
            </w:r>
            <w:r>
              <w:rPr>
                <w:rFonts w:hint="eastAsia" w:ascii="ＭＳ ゴシック" w:hAnsi="ＭＳ ゴシック" w:eastAsia="ＭＳ ゴシック"/>
              </w:rPr>
              <w:t>35,000</w:t>
            </w:r>
          </w:p>
          <w:p>
            <w:pPr>
              <w:pStyle w:val="0"/>
              <w:rPr>
                <w:rFonts w:hint="default" w:ascii="ＭＳ ゴシック" w:hAnsi="ＭＳ ゴシック" w:eastAsia="ＭＳ ゴシック"/>
              </w:rPr>
            </w:pPr>
            <w:r>
              <w:rPr>
                <w:rFonts w:hint="eastAsia" w:ascii="ＭＳ ゴシック" w:hAnsi="ＭＳ ゴシック" w:eastAsia="ＭＳ ゴシック"/>
              </w:rPr>
              <w:t>琴浦町</w:t>
            </w:r>
            <w:r>
              <w:rPr>
                <w:rFonts w:hint="eastAsia" w:ascii="ＭＳ ゴシック" w:hAnsi="ＭＳ ゴシック" w:eastAsia="ＭＳ ゴシック"/>
              </w:rPr>
              <w:t>17,000</w:t>
            </w:r>
          </w:p>
        </w:tc>
      </w:tr>
      <w:tr>
        <w:trPr/>
        <w:tc>
          <w:tcPr>
            <w:tcW w:w="1436"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補助金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400,000</w:t>
            </w:r>
          </w:p>
        </w:tc>
        <w:tc>
          <w:tcPr>
            <w:tcW w:w="1444"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補助金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400,000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補助金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400,000</w:t>
            </w:r>
            <w:r>
              <w:rPr>
                <w:rFonts w:hint="eastAsia" w:ascii="ＭＳ ゴシック" w:hAnsi="ＭＳ ゴシック" w:eastAsia="ＭＳ ゴシック"/>
              </w:rPr>
              <w:t>　　　　</w:t>
            </w:r>
          </w:p>
        </w:tc>
        <w:tc>
          <w:tcPr>
            <w:tcW w:w="41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国庫補助</w:t>
            </w:r>
            <w:r>
              <w:rPr>
                <w:rFonts w:hint="eastAsia" w:ascii="ＭＳ ゴシック" w:hAnsi="ＭＳ ゴシック" w:eastAsia="ＭＳ ゴシック"/>
              </w:rPr>
              <w:t xml:space="preserve"> </w:t>
            </w:r>
            <w:r>
              <w:rPr>
                <w:rFonts w:hint="default" w:ascii="ＭＳ ゴシック" w:hAnsi="ＭＳ ゴシック" w:eastAsia="ＭＳ ゴシック"/>
              </w:rPr>
              <w:t>0</w:t>
            </w:r>
            <w:bookmarkStart w:id="0" w:name="_GoBack"/>
            <w:bookmarkEnd w:id="0"/>
          </w:p>
          <w:p>
            <w:pPr>
              <w:pStyle w:val="0"/>
              <w:rPr>
                <w:rFonts w:hint="default" w:ascii="ＭＳ ゴシック" w:hAnsi="ＭＳ ゴシック" w:eastAsia="ＭＳ ゴシック"/>
              </w:rPr>
            </w:pPr>
            <w:r>
              <w:rPr>
                <w:rFonts w:hint="eastAsia" w:ascii="ＭＳ ゴシック" w:hAnsi="ＭＳ ゴシック" w:eastAsia="ＭＳ ゴシック"/>
              </w:rPr>
              <w:t>県費</w:t>
            </w:r>
            <w:r>
              <w:rPr>
                <w:rFonts w:hint="eastAsia" w:ascii="ＭＳ ゴシック" w:hAnsi="ＭＳ ゴシック" w:eastAsia="ＭＳ ゴシック"/>
              </w:rPr>
              <w:t xml:space="preserve"> </w:t>
            </w:r>
            <w:r>
              <w:rPr>
                <w:rFonts w:hint="default" w:ascii="ＭＳ ゴシック" w:hAnsi="ＭＳ ゴシック" w:eastAsia="ＭＳ ゴシック"/>
              </w:rPr>
              <w:t>400,000</w:t>
            </w:r>
          </w:p>
        </w:tc>
      </w:tr>
      <w:tr>
        <w:trPr/>
        <w:tc>
          <w:tcPr>
            <w:tcW w:w="1436"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繰越金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1444"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繰越金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繰越金</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4140" w:type="dxa"/>
            <w:shd w:val="clear" w:color="auto" w:fill="auto"/>
            <w:vAlign w:val="top"/>
          </w:tcPr>
          <w:p>
            <w:pPr>
              <w:pStyle w:val="0"/>
              <w:rPr>
                <w:rFonts w:hint="default" w:ascii="ＭＳ ゴシック" w:hAnsi="ＭＳ ゴシック" w:eastAsia="ＭＳ ゴシック"/>
              </w:rPr>
            </w:pPr>
          </w:p>
        </w:tc>
      </w:tr>
      <w:tr>
        <w:trPr>
          <w:trHeight w:val="517" w:hRule="atLeast"/>
        </w:trPr>
        <w:tc>
          <w:tcPr>
            <w:tcW w:w="4500" w:type="dxa"/>
            <w:gridSpan w:val="3"/>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歳入合計：　　</w:t>
            </w:r>
            <w:r>
              <w:rPr>
                <w:rFonts w:hint="eastAsia" w:ascii="ＭＳ ゴシック" w:hAnsi="ＭＳ ゴシック" w:eastAsia="ＭＳ ゴシック"/>
                <w:color w:val="FF0000"/>
              </w:rPr>
              <w:t>872,000</w:t>
            </w:r>
          </w:p>
        </w:tc>
        <w:tc>
          <w:tcPr>
            <w:tcW w:w="4140" w:type="dxa"/>
            <w:shd w:val="clear" w:color="auto" w:fill="auto"/>
            <w:vAlign w:val="center"/>
          </w:tcPr>
          <w:p>
            <w:pPr>
              <w:pStyle w:val="0"/>
              <w:jc w:val="right"/>
              <w:rPr>
                <w:rFonts w:hint="default" w:ascii="ＭＳ ゴシック" w:hAnsi="ＭＳ ゴシック" w:eastAsia="ＭＳ ゴシック"/>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　歳出　　　　　　　　　　　　　　　　　　　　　　　　　　　　　　　　　　</w:t>
      </w:r>
      <w:r>
        <w:rPr>
          <w:rFonts w:hint="eastAsia" w:ascii="ＭＳ ゴシック" w:hAnsi="ＭＳ ゴシック" w:eastAsia="ＭＳ ゴシック"/>
        </w:rPr>
        <w:t>(</w:t>
      </w:r>
      <w:r>
        <w:rPr>
          <w:rFonts w:hint="eastAsia" w:ascii="ＭＳ ゴシック" w:hAnsi="ＭＳ ゴシック" w:eastAsia="ＭＳ ゴシック"/>
        </w:rPr>
        <w:t>単位：円</w:t>
      </w:r>
      <w:r>
        <w:rPr>
          <w:rFonts w:hint="eastAsia" w:ascii="ＭＳ ゴシック" w:hAnsi="ＭＳ ゴシック" w:eastAsia="ＭＳ ゴシック"/>
        </w:rPr>
        <w:t>)</w:t>
      </w:r>
    </w:p>
    <w:tbl>
      <w:tblPr>
        <w:tblStyle w:val="11"/>
        <w:tblW w:w="86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0"/>
        <w:gridCol w:w="1440"/>
        <w:gridCol w:w="1620"/>
        <w:gridCol w:w="4140"/>
      </w:tblGrid>
      <w:tr>
        <w:trPr/>
        <w:tc>
          <w:tcPr>
            <w:tcW w:w="144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款</w:t>
            </w:r>
          </w:p>
        </w:tc>
        <w:tc>
          <w:tcPr>
            <w:tcW w:w="144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項</w:t>
            </w:r>
          </w:p>
        </w:tc>
        <w:tc>
          <w:tcPr>
            <w:tcW w:w="162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目</w:t>
            </w:r>
          </w:p>
        </w:tc>
        <w:tc>
          <w:tcPr>
            <w:tcW w:w="4140"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内容</w:t>
            </w:r>
          </w:p>
        </w:tc>
      </w:tr>
      <w:tr>
        <w:trPr/>
        <w:tc>
          <w:tcPr>
            <w:tcW w:w="1440" w:type="dxa"/>
            <w:vMerge w:val="restart"/>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運営費</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472,000</w:t>
            </w:r>
          </w:p>
        </w:tc>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会議費</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442,000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会議費</w:t>
            </w:r>
          </w:p>
          <w:p>
            <w:pPr>
              <w:pStyle w:val="0"/>
              <w:jc w:val="right"/>
              <w:rPr>
                <w:rFonts w:hint="default" w:ascii="ＭＳ ゴシック" w:hAnsi="ＭＳ ゴシック" w:eastAsia="ＭＳ ゴシック"/>
              </w:rPr>
            </w:pPr>
            <w:r>
              <w:rPr>
                <w:rFonts w:hint="eastAsia" w:ascii="ＭＳ ゴシック" w:hAnsi="ＭＳ ゴシック" w:eastAsia="ＭＳ ゴシック"/>
                <w:color w:val="FF0000"/>
              </w:rPr>
              <w:t>442,000</w:t>
            </w:r>
          </w:p>
        </w:tc>
        <w:tc>
          <w:tcPr>
            <w:tcW w:w="41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協議会・幹事会委員報酬</w:t>
            </w:r>
          </w:p>
        </w:tc>
      </w:tr>
      <w:tr>
        <w:trPr/>
        <w:tc>
          <w:tcPr>
            <w:tcW w:w="1440" w:type="dxa"/>
            <w:vMerge w:val="continue"/>
            <w:shd w:val="clear" w:color="auto" w:fill="auto"/>
            <w:vAlign w:val="top"/>
          </w:tcPr>
          <w:p>
            <w:pPr>
              <w:pStyle w:val="0"/>
              <w:rPr>
                <w:rFonts w:hint="default" w:ascii="ＭＳ ゴシック" w:hAnsi="ＭＳ ゴシック" w:eastAsia="ＭＳ ゴシック"/>
              </w:rPr>
            </w:pPr>
          </w:p>
        </w:tc>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事務費</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30,000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事務費</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30,000</w:t>
            </w:r>
          </w:p>
        </w:tc>
        <w:tc>
          <w:tcPr>
            <w:tcW w:w="41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消耗品費、通信運搬費</w:t>
            </w:r>
          </w:p>
        </w:tc>
      </w:tr>
      <w:tr>
        <w:trPr/>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２　事業費</w:t>
            </w:r>
          </w:p>
          <w:p>
            <w:pPr>
              <w:pStyle w:val="0"/>
              <w:jc w:val="right"/>
              <w:rPr>
                <w:rFonts w:hint="default" w:ascii="ＭＳ ゴシック" w:hAnsi="ＭＳ ゴシック" w:eastAsia="ＭＳ ゴシック"/>
              </w:rPr>
            </w:pPr>
            <w:r>
              <w:rPr>
                <w:rFonts w:hint="default" w:ascii="ＭＳ ゴシック" w:hAnsi="ＭＳ ゴシック" w:eastAsia="ＭＳ ゴシック"/>
              </w:rPr>
              <w:t>400</w:t>
            </w:r>
            <w:r>
              <w:rPr>
                <w:rFonts w:hint="eastAsia" w:ascii="ＭＳ ゴシック" w:hAnsi="ＭＳ ゴシック" w:eastAsia="ＭＳ ゴシック"/>
              </w:rPr>
              <w:t>,000</w:t>
            </w:r>
          </w:p>
        </w:tc>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事業費</w:t>
            </w:r>
          </w:p>
          <w:p>
            <w:pPr>
              <w:pStyle w:val="0"/>
              <w:jc w:val="right"/>
              <w:rPr>
                <w:rFonts w:hint="default" w:ascii="ＭＳ ゴシック" w:hAnsi="ＭＳ ゴシック" w:eastAsia="ＭＳ ゴシック"/>
              </w:rPr>
            </w:pPr>
            <w:r>
              <w:rPr>
                <w:rFonts w:hint="default" w:ascii="ＭＳ ゴシック" w:hAnsi="ＭＳ ゴシック" w:eastAsia="ＭＳ ゴシック"/>
              </w:rPr>
              <w:t>400</w:t>
            </w:r>
            <w:r>
              <w:rPr>
                <w:rFonts w:hint="eastAsia" w:ascii="ＭＳ ゴシック" w:hAnsi="ＭＳ ゴシック" w:eastAsia="ＭＳ ゴシック"/>
              </w:rPr>
              <w:t>,000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事業費</w:t>
            </w:r>
          </w:p>
          <w:p>
            <w:pPr>
              <w:pStyle w:val="0"/>
              <w:jc w:val="right"/>
              <w:rPr>
                <w:rFonts w:hint="default" w:ascii="ＭＳ ゴシック" w:hAnsi="ＭＳ ゴシック" w:eastAsia="ＭＳ ゴシック"/>
              </w:rPr>
            </w:pPr>
            <w:r>
              <w:rPr>
                <w:rFonts w:hint="default" w:ascii="ＭＳ ゴシック" w:hAnsi="ＭＳ ゴシック" w:eastAsia="ＭＳ ゴシック"/>
              </w:rPr>
              <w:t>400</w:t>
            </w:r>
            <w:r>
              <w:rPr>
                <w:rFonts w:hint="eastAsia" w:ascii="ＭＳ ゴシック" w:hAnsi="ＭＳ ゴシック" w:eastAsia="ＭＳ ゴシック"/>
              </w:rPr>
              <w:t>,000</w:t>
            </w:r>
          </w:p>
        </w:tc>
        <w:tc>
          <w:tcPr>
            <w:tcW w:w="41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地域公共交通計画等に係る費用（圏域バスマップ作成、再編路線の利用状況調査・分析）</w:t>
            </w:r>
          </w:p>
        </w:tc>
      </w:tr>
      <w:tr>
        <w:trPr/>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３　予備費</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144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予備費</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1620" w:type="dxa"/>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１　予備費</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0</w:t>
            </w:r>
          </w:p>
        </w:tc>
        <w:tc>
          <w:tcPr>
            <w:tcW w:w="4140" w:type="dxa"/>
            <w:shd w:val="clear" w:color="auto" w:fill="auto"/>
            <w:vAlign w:val="top"/>
          </w:tcPr>
          <w:p>
            <w:pPr>
              <w:pStyle w:val="0"/>
              <w:rPr>
                <w:rFonts w:hint="default" w:ascii="ＭＳ ゴシック" w:hAnsi="ＭＳ ゴシック" w:eastAsia="ＭＳ ゴシック"/>
              </w:rPr>
            </w:pPr>
          </w:p>
        </w:tc>
      </w:tr>
      <w:tr>
        <w:trPr>
          <w:trHeight w:val="472" w:hRule="atLeast"/>
        </w:trPr>
        <w:tc>
          <w:tcPr>
            <w:tcW w:w="4500" w:type="dxa"/>
            <w:gridSpan w:val="3"/>
            <w:shd w:val="clear" w:color="auto" w:fill="auto"/>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歳出合計：</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color w:val="FF0000"/>
              </w:rPr>
              <w:t>872,000</w:t>
            </w:r>
          </w:p>
        </w:tc>
        <w:tc>
          <w:tcPr>
            <w:tcW w:w="4140" w:type="dxa"/>
            <w:shd w:val="clear" w:color="auto" w:fill="auto"/>
            <w:vAlign w:val="center"/>
          </w:tcPr>
          <w:p>
            <w:pPr>
              <w:pStyle w:val="0"/>
              <w:jc w:val="right"/>
              <w:rPr>
                <w:rFonts w:hint="default" w:ascii="ＭＳ ゴシック" w:hAnsi="ＭＳ ゴシック" w:eastAsia="ＭＳ ゴシック"/>
              </w:rPr>
            </w:pPr>
          </w:p>
        </w:tc>
      </w:tr>
    </w:tbl>
    <w:p>
      <w:pPr>
        <w:pStyle w:val="0"/>
        <w:rPr>
          <w:rFonts w:hint="eastAsia"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【運営費内容】</w:t>
      </w:r>
    </w:p>
    <w:p>
      <w:pPr>
        <w:pStyle w:val="0"/>
        <w:ind w:left="210" w:leftChars="100"/>
        <w:rPr>
          <w:rFonts w:hint="default" w:ascii="ＭＳ ゴシック" w:hAnsi="ＭＳ ゴシック" w:eastAsia="ＭＳ ゴシック"/>
        </w:rPr>
      </w:pPr>
      <w:r>
        <w:rPr>
          <w:rFonts w:hint="eastAsia" w:ascii="ＭＳ ゴシック" w:hAnsi="ＭＳ ゴシック" w:eastAsia="ＭＳ ゴシック"/>
        </w:rPr>
        <w:t>◆「地域公共交通計画」推進のための利用促進事業実施、「地域公共交通利便増進実施計画」推進のための再編事業実施及び次期「地域公共交通計画」の策定に向けた検討を目的とした、協議会：年２回、幹事会：年２回を開催するための経費。</w:t>
      </w:r>
    </w:p>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　バス運賃の割引による利用促進事業「ノーマイカー運動」を実施するための広報費。</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【参考】</w:t>
      </w:r>
    </w:p>
    <w:p>
      <w:pPr>
        <w:pStyle w:val="0"/>
        <w:ind w:left="420" w:leftChars="100" w:hanging="210" w:hangingChars="100"/>
        <w:rPr>
          <w:rFonts w:hint="default" w:ascii="ＭＳ ゴシック" w:hAnsi="ＭＳ ゴシック" w:eastAsia="ＭＳ ゴシック"/>
        </w:rPr>
      </w:pPr>
      <w:r>
        <w:rPr>
          <w:rFonts w:hint="eastAsia" w:ascii="ＭＳ ゴシック" w:hAnsi="ＭＳ ゴシック" w:eastAsia="ＭＳ ゴシック"/>
        </w:rPr>
        <w:t>◆　関係機関と連携した利用促進に要する経費については、各関係機関（県市町、バス事業者）において対応。</w:t>
      </w:r>
    </w:p>
    <w:p>
      <w:pPr>
        <w:pStyle w:val="0"/>
        <w:ind w:left="420" w:leftChars="100" w:hanging="210" w:hangingChars="100"/>
        <w:rPr>
          <w:rFonts w:hint="eastAsia" w:ascii="ＭＳ ゴシック" w:hAnsi="ＭＳ ゴシック" w:eastAsia="ＭＳ ゴシック"/>
        </w:rPr>
      </w:pPr>
      <w:r>
        <w:rPr>
          <w:rFonts w:hint="eastAsia" w:ascii="ＭＳ ゴシック" w:hAnsi="ＭＳ ゴシック" w:eastAsia="ＭＳ ゴシック"/>
        </w:rPr>
        <w:t>◆　高校生に向けた路線バスの利用促進チラシ及びバスマップ作成については継続実施。</w:t>
      </w:r>
    </w:p>
    <w:sectPr>
      <w:pgSz w:w="11906" w:h="16838"/>
      <w:pgMar w:top="851" w:right="1134" w:bottom="851" w:left="1418"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customStyle="1">
    <w:name w:val="Default"/>
    <w:next w:val="19"/>
    <w:link w:val="0"/>
    <w:uiPriority w:val="0"/>
    <w:qFormat/>
    <w:pPr>
      <w:widowControl w:val="0"/>
      <w:autoSpaceDE w:val="0"/>
      <w:autoSpaceDN w:val="0"/>
      <w:adjustRightInd w:val="0"/>
    </w:pPr>
    <w:rPr>
      <w:rFonts w:ascii="ＭＳ" w:hAnsi="ＭＳ" w:eastAsia="ＭＳ"/>
      <w:color w:val="00000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qFormat/>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