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center"/>
        <w:rPr>
          <w:rFonts w:hint="default" w:ascii="ＭＳ ゴシック" w:hAnsi="ＭＳ ゴシック" w:eastAsia="ＭＳ ゴシック"/>
          <w:color w:val="000000" w:themeColor="text1"/>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5707380</wp:posOffset>
                </wp:positionH>
                <wp:positionV relativeFrom="paragraph">
                  <wp:posOffset>-349885</wp:posOffset>
                </wp:positionV>
                <wp:extent cx="582295" cy="285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82295" cy="285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b w:val="1"/>
                              </w:rPr>
                              <w:t>資料２</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7.55pt;mso-position-vertical-relative:text;mso-position-horizontal-relative:text;position:absolute;height:22.5pt;mso-wrap-distance-top:0pt;width:45.85pt;mso-wrap-distance-left:5.65pt;margin-left:449.4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b w:val="1"/>
                        </w:rPr>
                        <w:t>資料２</w:t>
                      </w:r>
                    </w:p>
                  </w:txbxContent>
                </v:textbox>
                <v:imagedata o:title=""/>
                <w10:wrap type="none" anchorx="text" anchory="text"/>
              </v:shape>
            </w:pict>
          </mc:Fallback>
        </mc:AlternateContent>
      </w:r>
      <w:r>
        <w:rPr>
          <w:rFonts w:hint="eastAsia" w:ascii="ＭＳ ゴシック" w:hAnsi="ＭＳ ゴシック" w:eastAsia="ＭＳ ゴシック"/>
          <w:sz w:val="22"/>
        </w:rPr>
        <w:t>鳥取短期大学～倉吉駅～西倉吉間における夕夜間時間帯に限定した路線の試験的な運行について</w:t>
      </w:r>
    </w:p>
    <w:p>
      <w:pPr>
        <w:pStyle w:val="0"/>
        <w:spacing w:line="0" w:lineRule="atLeast"/>
        <w:rPr>
          <w:rFonts w:hint="default" w:ascii="ＭＳ ゴシック" w:hAnsi="ＭＳ ゴシック" w:eastAsia="ＭＳ ゴシック"/>
          <w:color w:val="000000" w:themeColor="text1"/>
          <w:sz w:val="22"/>
        </w:rPr>
      </w:pPr>
    </w:p>
    <w:p>
      <w:pPr>
        <w:pStyle w:val="0"/>
        <w:spacing w:line="0" w:lineRule="atLeast"/>
        <w:ind w:left="430" w:leftChars="100" w:hanging="220" w:hanging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b w:val="1"/>
          <w:color w:val="000000" w:themeColor="text1"/>
          <w:sz w:val="22"/>
          <w:highlight w:val="yellow"/>
        </w:rPr>
        <w:t>○</w:t>
      </w:r>
      <w:r>
        <w:rPr>
          <w:rFonts w:hint="eastAsia" w:ascii="ＭＳ ゴシック" w:hAnsi="ＭＳ ゴシック" w:eastAsia="ＭＳ ゴシック"/>
          <w:b w:val="1"/>
          <w:sz w:val="22"/>
          <w:highlight w:val="yellow"/>
        </w:rPr>
        <w:t>鳥取短期大学～倉吉駅～西倉吉間における夕夜間時間帯に限定した路線の試験的な運行について、</w:t>
      </w:r>
      <w:r>
        <w:rPr>
          <w:rFonts w:hint="eastAsia" w:ascii="ＭＳ ゴシック" w:hAnsi="ＭＳ ゴシック" w:eastAsia="ＭＳ ゴシック"/>
          <w:b w:val="1"/>
          <w:color w:val="000000" w:themeColor="text1"/>
          <w:sz w:val="22"/>
          <w:highlight w:val="yellow"/>
        </w:rPr>
        <w:t>令和４年４月１日に向け準備を行ってきたが、新型コロナウィルス感染症拡大に伴い、大学施設の開館時間</w:t>
      </w:r>
      <w:bookmarkStart w:id="0" w:name="_GoBack"/>
      <w:bookmarkEnd w:id="0"/>
      <w:r>
        <w:rPr>
          <w:rFonts w:hint="eastAsia" w:ascii="ＭＳ ゴシック" w:hAnsi="ＭＳ ゴシック" w:eastAsia="ＭＳ ゴシック"/>
          <w:b w:val="1"/>
          <w:color w:val="000000" w:themeColor="text1"/>
          <w:sz w:val="22"/>
          <w:highlight w:val="yellow"/>
        </w:rPr>
        <w:t>が短縮され、通常の開館時間に戻る時期も不明であることから、試験運行を見合わせた。</w:t>
      </w:r>
    </w:p>
    <w:p>
      <w:pPr>
        <w:pStyle w:val="0"/>
        <w:spacing w:line="0" w:lineRule="atLeast"/>
        <w:ind w:firstLine="220" w:firstLineChars="100"/>
        <w:rPr>
          <w:rFonts w:hint="default" w:ascii="ＭＳ ゴシック" w:hAnsi="ＭＳ ゴシック" w:eastAsia="ＭＳ ゴシック"/>
          <w:color w:val="000000" w:themeColor="text1"/>
          <w:sz w:val="22"/>
        </w:rPr>
      </w:pPr>
    </w:p>
    <w:p>
      <w:pPr>
        <w:pStyle w:val="0"/>
        <w:spacing w:line="0" w:lineRule="atLeast"/>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（令和３年５月</w:t>
      </w:r>
      <w:r>
        <w:rPr>
          <w:rFonts w:hint="eastAsia" w:ascii="ＭＳ ゴシック" w:hAnsi="ＭＳ ゴシック" w:eastAsia="ＭＳ ゴシック"/>
          <w:color w:val="000000" w:themeColor="text1"/>
          <w:sz w:val="22"/>
        </w:rPr>
        <w:t>31</w:t>
      </w:r>
      <w:r>
        <w:rPr>
          <w:rFonts w:hint="eastAsia" w:ascii="ＭＳ ゴシック" w:hAnsi="ＭＳ ゴシック" w:eastAsia="ＭＳ ゴシック"/>
          <w:color w:val="000000" w:themeColor="text1"/>
          <w:sz w:val="22"/>
        </w:rPr>
        <w:t>日開催鳥取中部地域公共交通協議会資料抜粋）</w:t>
      </w:r>
    </w:p>
    <w:tbl>
      <w:tblPr>
        <w:tblStyle w:val="11"/>
        <w:tblW w:w="9639"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Look w:firstRow="1" w:lastRow="0" w:firstColumn="1" w:lastColumn="0" w:noHBand="0" w:noVBand="1" w:val="04A0"/>
      </w:tblPr>
      <w:tblGrid>
        <w:gridCol w:w="3795"/>
        <w:gridCol w:w="2520"/>
        <w:gridCol w:w="3324"/>
      </w:tblGrid>
      <w:tr>
        <w:trPr>
          <w:tblHeader/>
        </w:trPr>
        <w:tc>
          <w:tcPr>
            <w:tcW w:w="3795" w:type="dxa"/>
            <w:shd w:val="clear" w:color="auto" w:fill="D9D9D9"/>
            <w:vAlign w:val="top"/>
          </w:tcPr>
          <w:p>
            <w:pPr>
              <w:pStyle w:val="0"/>
              <w:spacing w:line="240" w:lineRule="exact"/>
              <w:jc w:val="center"/>
              <w:rPr>
                <w:rFonts w:hint="default" w:ascii="ＭＳ 明朝" w:hAnsi="ＭＳ 明朝"/>
                <w:snapToGrid w:val="0"/>
                <w:color w:val="000000" w:themeColor="text1"/>
                <w:kern w:val="0"/>
                <w:sz w:val="20"/>
              </w:rPr>
            </w:pPr>
            <w:r>
              <w:rPr>
                <w:rFonts w:hint="eastAsia" w:ascii="ＭＳ 明朝" w:hAnsi="ＭＳ 明朝"/>
                <w:snapToGrid w:val="0"/>
                <w:color w:val="000000" w:themeColor="text1"/>
                <w:kern w:val="0"/>
                <w:sz w:val="20"/>
              </w:rPr>
              <w:t>現状・課題</w:t>
            </w:r>
          </w:p>
        </w:tc>
        <w:tc>
          <w:tcPr>
            <w:tcW w:w="252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top"/>
          </w:tcPr>
          <w:p>
            <w:pPr>
              <w:pStyle w:val="0"/>
              <w:spacing w:line="240" w:lineRule="exact"/>
              <w:jc w:val="center"/>
              <w:rPr>
                <w:rFonts w:hint="default" w:ascii="ＭＳ 明朝" w:hAnsi="ＭＳ 明朝"/>
                <w:snapToGrid w:val="0"/>
                <w:color w:val="000000" w:themeColor="text1"/>
                <w:kern w:val="0"/>
                <w:sz w:val="20"/>
              </w:rPr>
            </w:pPr>
            <w:r>
              <w:rPr>
                <w:rFonts w:hint="eastAsia" w:ascii="ＭＳ 明朝" w:hAnsi="ＭＳ 明朝"/>
                <w:snapToGrid w:val="0"/>
                <w:color w:val="000000" w:themeColor="text1"/>
                <w:kern w:val="0"/>
                <w:sz w:val="20"/>
              </w:rPr>
              <w:t>事業内容</w:t>
            </w:r>
          </w:p>
        </w:tc>
        <w:tc>
          <w:tcPr>
            <w:tcW w:w="332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top"/>
          </w:tcPr>
          <w:p>
            <w:pPr>
              <w:pStyle w:val="0"/>
              <w:spacing w:line="240" w:lineRule="exact"/>
              <w:jc w:val="center"/>
              <w:rPr>
                <w:rFonts w:hint="default" w:ascii="ＭＳ 明朝" w:hAnsi="ＭＳ 明朝"/>
                <w:snapToGrid w:val="0"/>
                <w:color w:val="000000" w:themeColor="text1"/>
                <w:kern w:val="0"/>
                <w:sz w:val="20"/>
              </w:rPr>
            </w:pPr>
            <w:r>
              <w:rPr>
                <w:rFonts w:hint="eastAsia" w:ascii="ＭＳ 明朝" w:hAnsi="ＭＳ 明朝"/>
                <w:snapToGrid w:val="0"/>
                <w:color w:val="000000" w:themeColor="text1"/>
                <w:kern w:val="0"/>
                <w:sz w:val="20"/>
              </w:rPr>
              <w:t>実施状況及び今後の主な取組み（案）</w:t>
            </w:r>
          </w:p>
        </w:tc>
      </w:tr>
      <w:tr>
        <w:trPr>
          <w:trHeight w:val="11386" w:hRule="atLeast"/>
        </w:trPr>
        <w:tc>
          <w:tcPr>
            <w:tcW w:w="3795" w:type="dxa"/>
            <w:shd w:val="clear" w:color="auto" w:fill="auto"/>
            <w:vAlign w:val="top"/>
          </w:tcPr>
          <w:p>
            <w:pPr>
              <w:pStyle w:val="0"/>
              <w:spacing w:line="240" w:lineRule="exact"/>
              <w:ind w:left="200" w:hanging="200" w:hangingChars="100"/>
              <w:rPr>
                <w:rFonts w:hint="default" w:ascii="ＭＳ 明朝" w:hAnsi="ＭＳ 明朝"/>
                <w:b w:val="1"/>
                <w:snapToGrid w:val="0"/>
                <w:color w:val="000000" w:themeColor="text1"/>
                <w:kern w:val="0"/>
                <w:sz w:val="20"/>
              </w:rPr>
            </w:pPr>
            <w:r>
              <w:rPr>
                <w:rFonts w:hint="eastAsia" w:ascii="ＭＳ 明朝" w:hAnsi="ＭＳ 明朝"/>
                <w:b w:val="1"/>
                <w:snapToGrid w:val="0"/>
                <w:color w:val="000000" w:themeColor="text1"/>
                <w:kern w:val="0"/>
                <w:sz w:val="20"/>
              </w:rPr>
              <w:t>［利用者ニーズへの対応］</w:t>
            </w:r>
          </w:p>
          <w:p>
            <w:pPr>
              <w:pStyle w:val="0"/>
              <w:spacing w:line="240" w:lineRule="exact"/>
              <w:ind w:left="200" w:hanging="200" w:hangingChars="100"/>
              <w:rPr>
                <w:rFonts w:hint="default" w:ascii="ＭＳ 明朝" w:hAnsi="ＭＳ 明朝"/>
                <w:snapToGrid w:val="0"/>
                <w:color w:val="000000" w:themeColor="text1"/>
                <w:kern w:val="0"/>
                <w:sz w:val="20"/>
              </w:rPr>
            </w:pPr>
            <w:r>
              <w:rPr>
                <w:rFonts w:hint="eastAsia" w:ascii="ＭＳ 明朝" w:hAnsi="ＭＳ 明朝"/>
                <w:snapToGrid w:val="0"/>
                <w:color w:val="000000" w:themeColor="text1"/>
                <w:kern w:val="0"/>
                <w:sz w:val="20"/>
              </w:rPr>
              <w:t>○目的地への移動利便性の向上</w:t>
            </w:r>
          </w:p>
          <w:p>
            <w:pPr>
              <w:pStyle w:val="0"/>
              <w:spacing w:line="240" w:lineRule="exact"/>
              <w:ind w:left="210" w:leftChars="100" w:firstLine="200" w:firstLineChars="100"/>
              <w:rPr>
                <w:rFonts w:hint="default" w:ascii="ＭＳ 明朝" w:hAnsi="ＭＳ 明朝"/>
                <w:snapToGrid w:val="0"/>
                <w:color w:val="000000" w:themeColor="text1"/>
                <w:kern w:val="0"/>
                <w:sz w:val="20"/>
              </w:rPr>
            </w:pPr>
            <w:r>
              <w:rPr>
                <w:rFonts w:hint="eastAsia" w:ascii="ＭＳ 明朝" w:hAnsi="ＭＳ 明朝"/>
                <w:snapToGrid w:val="0"/>
                <w:color w:val="000000" w:themeColor="text1"/>
                <w:kern w:val="0"/>
                <w:sz w:val="20"/>
              </w:rPr>
              <w:t>バスサービスの満足度が低い項目である「運行本数」「ダイヤ」「最終便の時間」「待合環境」「料金」「運行経路」の改善により、目的地への移動利便性を向上させる必要がある。</w:t>
            </w:r>
          </w:p>
          <w:p>
            <w:pPr>
              <w:pStyle w:val="0"/>
              <w:spacing w:line="240" w:lineRule="exact"/>
              <w:rPr>
                <w:rFonts w:hint="default" w:ascii="ＭＳ 明朝" w:hAnsi="ＭＳ 明朝"/>
                <w:snapToGrid w:val="0"/>
                <w:color w:val="000000" w:themeColor="text1"/>
                <w:kern w:val="0"/>
                <w:sz w:val="20"/>
              </w:rPr>
            </w:pPr>
          </w:p>
          <w:p>
            <w:pPr>
              <w:pStyle w:val="0"/>
              <w:spacing w:line="240" w:lineRule="exact"/>
              <w:rPr>
                <w:rFonts w:hint="default" w:ascii="ＭＳ 明朝" w:hAnsi="ＭＳ 明朝"/>
                <w:snapToGrid w:val="0"/>
                <w:color w:val="000000" w:themeColor="text1"/>
                <w:spacing w:val="-4"/>
                <w:kern w:val="0"/>
                <w:sz w:val="20"/>
              </w:rPr>
            </w:pPr>
            <w:r>
              <w:rPr>
                <w:rFonts w:hint="eastAsia" w:ascii="ＭＳ 明朝" w:hAnsi="ＭＳ 明朝"/>
                <w:snapToGrid w:val="0"/>
                <w:color w:val="000000" w:themeColor="text1"/>
                <w:spacing w:val="-4"/>
                <w:kern w:val="0"/>
                <w:sz w:val="20"/>
              </w:rPr>
              <w:t>○移動時間帯に応じた利便性の向上</w:t>
            </w:r>
          </w:p>
          <w:p>
            <w:pPr>
              <w:pStyle w:val="0"/>
              <w:spacing w:line="240" w:lineRule="exact"/>
              <w:ind w:left="210" w:leftChars="100" w:firstLine="200" w:firstLineChars="100"/>
              <w:rPr>
                <w:rFonts w:hint="default" w:ascii="ＭＳ 明朝" w:hAnsi="ＭＳ 明朝"/>
                <w:snapToGrid w:val="0"/>
                <w:color w:val="000000" w:themeColor="text1"/>
                <w:kern w:val="0"/>
                <w:sz w:val="20"/>
              </w:rPr>
            </w:pPr>
            <w:r>
              <w:rPr>
                <w:rFonts w:hint="eastAsia" w:ascii="ＭＳ 明朝" w:hAnsi="ＭＳ 明朝"/>
                <w:snapToGrid w:val="0"/>
                <w:color w:val="000000" w:themeColor="text1"/>
                <w:kern w:val="0"/>
                <w:sz w:val="20"/>
              </w:rPr>
              <w:t>朝の時間帯は通勤・通学利用が中心で定時性が求められ、それを過ぎると通院や買物移動の需要に移り、高齢者にはお昼前後に帰宅したいというニーズがある。時間帯に応じて利用者層や公共交通へのニーズも変わることから、移動時間帯に応じた利便性の確保が求められる。</w:t>
            </w:r>
          </w:p>
          <w:p>
            <w:pPr>
              <w:pStyle w:val="0"/>
              <w:spacing w:line="240" w:lineRule="exact"/>
              <w:rPr>
                <w:rFonts w:hint="default" w:ascii="ＭＳ 明朝" w:hAnsi="ＭＳ 明朝"/>
                <w:snapToGrid w:val="0"/>
                <w:color w:val="000000" w:themeColor="text1"/>
                <w:kern w:val="0"/>
                <w:sz w:val="20"/>
              </w:rPr>
            </w:pPr>
          </w:p>
          <w:p>
            <w:pPr>
              <w:pStyle w:val="0"/>
              <w:spacing w:line="240" w:lineRule="exact"/>
              <w:ind w:left="200" w:hanging="200" w:hangingChars="100"/>
              <w:rPr>
                <w:rFonts w:hint="default" w:ascii="ＭＳ 明朝" w:hAnsi="ＭＳ 明朝"/>
                <w:snapToGrid w:val="0"/>
                <w:color w:val="000000" w:themeColor="text1"/>
                <w:kern w:val="0"/>
                <w:sz w:val="20"/>
              </w:rPr>
            </w:pPr>
            <w:r>
              <w:rPr>
                <w:rFonts w:hint="eastAsia" w:ascii="ＭＳ 明朝" w:hAnsi="ＭＳ 明朝"/>
                <w:snapToGrid w:val="0"/>
                <w:color w:val="000000" w:themeColor="text1"/>
                <w:kern w:val="0"/>
                <w:sz w:val="20"/>
              </w:rPr>
              <w:t>○外来者や観光客に対応したバスサービスの向上</w:t>
            </w:r>
          </w:p>
          <w:p>
            <w:pPr>
              <w:pStyle w:val="0"/>
              <w:spacing w:line="240" w:lineRule="exact"/>
              <w:ind w:left="210" w:leftChars="100" w:firstLine="200" w:firstLineChars="100"/>
              <w:rPr>
                <w:rFonts w:hint="default" w:ascii="ＭＳ 明朝" w:hAnsi="ＭＳ 明朝"/>
                <w:snapToGrid w:val="0"/>
                <w:color w:val="000000" w:themeColor="text1"/>
                <w:kern w:val="0"/>
                <w:sz w:val="20"/>
              </w:rPr>
            </w:pPr>
            <w:r>
              <w:rPr>
                <w:rFonts w:hint="eastAsia" w:ascii="ＭＳ 明朝" w:hAnsi="ＭＳ 明朝"/>
                <w:snapToGrid w:val="0"/>
                <w:color w:val="000000" w:themeColor="text1"/>
                <w:kern w:val="0"/>
                <w:sz w:val="20"/>
              </w:rPr>
              <w:t>公共交通で訪れた県外観光客、外国人観光客あるいは仕事等による来訪者の移動手段として、路線バスの利用促進を図っていく必要がある。そのためには、観光客等の動向に対応した路線・ダイヤの確保、わかりやすい情報提供等により使いやすいバスサービスが望まれる。</w:t>
            </w:r>
          </w:p>
          <w:p>
            <w:pPr>
              <w:pStyle w:val="0"/>
              <w:spacing w:line="240" w:lineRule="exact"/>
              <w:rPr>
                <w:rFonts w:hint="default" w:ascii="ＭＳ 明朝" w:hAnsi="ＭＳ 明朝"/>
                <w:snapToGrid w:val="0"/>
                <w:color w:val="000000" w:themeColor="text1"/>
                <w:kern w:val="0"/>
                <w:sz w:val="20"/>
              </w:rPr>
            </w:pPr>
          </w:p>
          <w:p>
            <w:pPr>
              <w:pStyle w:val="0"/>
              <w:spacing w:line="240" w:lineRule="exact"/>
              <w:ind w:left="200" w:hanging="200" w:hangingChars="100"/>
              <w:rPr>
                <w:rFonts w:hint="default" w:ascii="ＭＳ 明朝" w:hAnsi="ＭＳ 明朝"/>
                <w:snapToGrid w:val="0"/>
                <w:color w:val="000000" w:themeColor="text1"/>
                <w:kern w:val="0"/>
                <w:sz w:val="20"/>
              </w:rPr>
            </w:pPr>
            <w:r>
              <w:rPr>
                <w:rFonts w:hint="eastAsia" w:ascii="ＭＳ 明朝" w:hAnsi="ＭＳ 明朝"/>
                <w:snapToGrid w:val="0"/>
                <w:color w:val="000000" w:themeColor="text1"/>
                <w:kern w:val="0"/>
                <w:sz w:val="20"/>
              </w:rPr>
              <w:t>○移動不便地域・公共交通空白地域への対応</w:t>
            </w:r>
          </w:p>
          <w:p>
            <w:pPr>
              <w:pStyle w:val="0"/>
              <w:spacing w:line="240" w:lineRule="exact"/>
              <w:ind w:left="210" w:leftChars="100" w:firstLine="200" w:firstLineChars="100"/>
              <w:rPr>
                <w:rFonts w:hint="default" w:ascii="ＭＳ 明朝" w:hAnsi="ＭＳ 明朝"/>
                <w:snapToGrid w:val="0"/>
                <w:color w:val="000000" w:themeColor="text1"/>
                <w:kern w:val="0"/>
                <w:sz w:val="20"/>
              </w:rPr>
            </w:pPr>
            <w:r>
              <w:rPr>
                <w:rFonts w:hint="eastAsia" w:ascii="ＭＳ 明朝" w:hAnsi="ＭＳ 明朝"/>
                <w:snapToGrid w:val="0"/>
                <w:color w:val="000000" w:themeColor="text1"/>
                <w:kern w:val="0"/>
                <w:sz w:val="20"/>
              </w:rPr>
              <w:t>バスの乗り継ぎがスムーズにいかず移動の際に長い待合時間が発生する移動不便地域や、バスが利用しにくい公共交通空白地域に対し、接続の改善、タクシー等を積極的に活用したデマンド型乗合タクシーやタクシー助成の充実等、状況に応じた移動支援を行う必要がある。</w:t>
            </w:r>
          </w:p>
          <w:p>
            <w:pPr>
              <w:pStyle w:val="0"/>
              <w:spacing w:line="240" w:lineRule="exact"/>
              <w:rPr>
                <w:rFonts w:hint="default" w:ascii="ＭＳ 明朝" w:hAnsi="ＭＳ 明朝"/>
                <w:snapToGrid w:val="0"/>
                <w:color w:val="000000" w:themeColor="text1"/>
                <w:kern w:val="0"/>
                <w:sz w:val="20"/>
              </w:rPr>
            </w:pPr>
          </w:p>
          <w:p>
            <w:pPr>
              <w:pStyle w:val="0"/>
              <w:spacing w:line="240" w:lineRule="exact"/>
              <w:rPr>
                <w:rFonts w:hint="default" w:ascii="ＭＳ 明朝" w:hAnsi="ＭＳ 明朝"/>
                <w:snapToGrid w:val="0"/>
                <w:color w:val="000000" w:themeColor="text1"/>
                <w:kern w:val="0"/>
                <w:sz w:val="20"/>
              </w:rPr>
            </w:pPr>
            <w:r>
              <w:rPr>
                <w:rFonts w:hint="eastAsia" w:ascii="ＭＳ 明朝" w:hAnsi="ＭＳ 明朝"/>
                <w:snapToGrid w:val="0"/>
                <w:color w:val="000000" w:themeColor="text1"/>
                <w:kern w:val="0"/>
                <w:sz w:val="20"/>
              </w:rPr>
              <w:t>○待合環境・乗車環境の充実</w:t>
            </w:r>
          </w:p>
          <w:p>
            <w:pPr>
              <w:pStyle w:val="0"/>
              <w:spacing w:line="240" w:lineRule="exact"/>
              <w:ind w:left="210" w:leftChars="100" w:firstLine="200" w:firstLineChars="100"/>
              <w:rPr>
                <w:rFonts w:hint="default" w:ascii="ＭＳ 明朝" w:hAnsi="ＭＳ 明朝"/>
                <w:snapToGrid w:val="0"/>
                <w:color w:val="000000" w:themeColor="text1"/>
                <w:kern w:val="0"/>
              </w:rPr>
            </w:pPr>
            <w:r>
              <w:rPr>
                <w:rFonts w:hint="eastAsia" w:ascii="ＭＳ 明朝" w:hAnsi="ＭＳ 明朝"/>
                <w:snapToGrid w:val="0"/>
                <w:color w:val="000000" w:themeColor="text1"/>
                <w:kern w:val="0"/>
                <w:sz w:val="20"/>
              </w:rPr>
              <w:t>未整備のバス停の整備推進に加え、乗降がしやすいように車両の低床化をさらに進めていくことやＵＤ（ユニバーサルデザイン）タクシーの活用を行っていく必要がある。</w:t>
            </w:r>
          </w:p>
        </w:tc>
        <w:tc>
          <w:tcPr>
            <w:tcW w:w="25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17"/>
              <w:spacing w:before="0" w:beforeLines="0" w:beforeAutospacing="0" w:after="0" w:afterLines="0" w:afterAutospacing="0"/>
              <w:rPr>
                <w:rFonts w:hint="default" w:ascii="ＭＳ 明朝" w:hAnsi="ＭＳ 明朝"/>
                <w:color w:val="000000" w:themeColor="text1"/>
                <w:spacing w:val="-4"/>
              </w:rPr>
            </w:pPr>
            <w:r>
              <w:rPr>
                <w:rFonts w:hint="eastAsia" w:ascii="ＭＳ 明朝" w:hAnsi="ＭＳ 明朝"/>
                <w:color w:val="000000" w:themeColor="text1"/>
                <w:spacing w:val="-4"/>
              </w:rPr>
              <w:t>＜移動利便性の向上＞</w:t>
            </w:r>
          </w:p>
          <w:p>
            <w:pPr>
              <w:pStyle w:val="25"/>
              <w:spacing w:before="0" w:beforeLines="0" w:beforeAutospacing="0" w:after="0" w:afterLines="0" w:afterAutospacing="0" w:line="24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事業１－１</w:t>
            </w:r>
          </w:p>
          <w:p>
            <w:pPr>
              <w:pStyle w:val="17"/>
              <w:spacing w:before="0" w:beforeLines="0" w:beforeAutospacing="0" w:after="0" w:afterLines="0" w:afterAutospacing="0"/>
              <w:rPr>
                <w:rFonts w:hint="default" w:ascii="ＭＳ 明朝" w:hAnsi="ＭＳ 明朝"/>
                <w:color w:val="000000" w:themeColor="text1"/>
              </w:rPr>
            </w:pPr>
            <w:r>
              <w:rPr>
                <w:rFonts w:hint="eastAsia" w:ascii="ＭＳ 明朝" w:hAnsi="ＭＳ 明朝"/>
                <w:color w:val="000000" w:themeColor="text1"/>
              </w:rPr>
              <w:t>通勤・通学利便性の向上</w:t>
            </w:r>
          </w:p>
          <w:p>
            <w:pPr>
              <w:pStyle w:val="17"/>
              <w:spacing w:before="0" w:beforeLines="0" w:beforeAutospacing="0" w:after="0" w:afterLines="0" w:afterAutospacing="0"/>
              <w:rPr>
                <w:rFonts w:hint="default" w:ascii="ＭＳ 明朝" w:hAnsi="ＭＳ 明朝"/>
                <w:color w:val="000000" w:themeColor="text1"/>
              </w:rPr>
            </w:pPr>
          </w:p>
          <w:p>
            <w:pPr>
              <w:pStyle w:val="17"/>
              <w:spacing w:before="0" w:beforeLines="0" w:beforeAutospacing="0" w:after="0" w:afterLines="0" w:afterAutospacing="0"/>
              <w:rPr>
                <w:rFonts w:hint="default" w:ascii="ＭＳ 明朝" w:hAnsi="ＭＳ 明朝"/>
                <w:color w:val="000000" w:themeColor="text1"/>
              </w:rPr>
            </w:pPr>
          </w:p>
          <w:p>
            <w:pPr>
              <w:pStyle w:val="17"/>
              <w:spacing w:before="0" w:beforeLines="0" w:beforeAutospacing="0" w:after="0" w:afterLines="0" w:afterAutospacing="0"/>
              <w:rPr>
                <w:rFonts w:hint="default" w:ascii="ＭＳ 明朝" w:hAnsi="ＭＳ 明朝"/>
                <w:color w:val="000000" w:themeColor="text1"/>
              </w:rPr>
            </w:pPr>
          </w:p>
          <w:p>
            <w:pPr>
              <w:pStyle w:val="17"/>
              <w:spacing w:before="0" w:beforeLines="0" w:beforeAutospacing="0" w:after="0" w:afterLines="0" w:afterAutospacing="0"/>
              <w:rPr>
                <w:rFonts w:hint="default" w:ascii="ＭＳ 明朝" w:hAnsi="ＭＳ 明朝"/>
                <w:color w:val="000000" w:themeColor="text1"/>
              </w:rPr>
            </w:pPr>
          </w:p>
          <w:p>
            <w:pPr>
              <w:pStyle w:val="17"/>
              <w:spacing w:before="0" w:beforeLines="0" w:beforeAutospacing="0" w:after="0" w:afterLines="0" w:afterAutospacing="0"/>
              <w:rPr>
                <w:rFonts w:hint="default" w:ascii="ＭＳ 明朝" w:hAnsi="ＭＳ 明朝"/>
                <w:color w:val="000000" w:themeColor="text1"/>
              </w:rPr>
            </w:pPr>
          </w:p>
        </w:tc>
        <w:tc>
          <w:tcPr>
            <w:tcW w:w="332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15"/>
              <w:numPr>
                <w:ilvl w:val="0"/>
                <w:numId w:val="0"/>
              </w:numPr>
              <w:spacing w:before="0" w:beforeLines="0" w:beforeAutospacing="0" w:after="0" w:afterLines="0" w:afterAutospacing="0"/>
              <w:ind w:left="227" w:hanging="227"/>
              <w:rPr>
                <w:rFonts w:hint="default" w:ascii="ＭＳ 明朝" w:hAnsi="ＭＳ 明朝"/>
                <w:color w:val="000000" w:themeColor="text1"/>
                <w:kern w:val="0"/>
              </w:rPr>
            </w:pPr>
            <w:r>
              <w:rPr>
                <w:rFonts w:hint="eastAsia" w:ascii="ＭＳ 明朝" w:hAnsi="ＭＳ 明朝"/>
                <w:color w:val="000000" w:themeColor="text1"/>
                <w:kern w:val="0"/>
              </w:rPr>
              <w:t>○通勤・通学時間帯のダイヤルートの改善</w:t>
            </w:r>
          </w:p>
          <w:p>
            <w:pPr>
              <w:pStyle w:val="28"/>
              <w:spacing w:before="0" w:beforeLines="0" w:beforeAutospacing="0" w:after="0" w:afterLines="0" w:afterAutospacing="0" w:line="24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【検討主体：県・市町・交通事業者】</w:t>
            </w:r>
          </w:p>
          <w:p>
            <w:pPr>
              <w:pStyle w:val="15"/>
              <w:numPr>
                <w:ilvl w:val="0"/>
                <w:numId w:val="0"/>
              </w:numPr>
              <w:spacing w:before="0" w:beforeLines="0" w:beforeAutospacing="0" w:after="0" w:afterLines="0" w:afterAutospacing="0"/>
              <w:ind w:left="200" w:hanging="200" w:hangingChars="100"/>
              <w:rPr>
                <w:rFonts w:hint="default" w:ascii="ＭＳ 明朝" w:hAnsi="ＭＳ 明朝"/>
                <w:color w:val="000000" w:themeColor="text1"/>
                <w:kern w:val="0"/>
              </w:rPr>
            </w:pPr>
          </w:p>
          <w:p>
            <w:pPr>
              <w:pStyle w:val="15"/>
              <w:numPr>
                <w:ilvl w:val="0"/>
                <w:numId w:val="0"/>
              </w:numPr>
              <w:spacing w:before="0" w:beforeLines="0" w:beforeAutospacing="0" w:after="0" w:afterLines="0" w:afterAutospacing="0"/>
              <w:ind w:left="200" w:hanging="200" w:hangingChars="100"/>
              <w:rPr>
                <w:rFonts w:hint="default" w:ascii="ＭＳ 明朝" w:hAnsi="ＭＳ 明朝"/>
                <w:color w:val="000000" w:themeColor="text1"/>
                <w:kern w:val="0"/>
                <w:u w:val="single" w:color="auto"/>
              </w:rPr>
            </w:pPr>
            <w:r>
              <w:rPr>
                <w:rFonts w:hint="eastAsia" w:ascii="ＭＳ 明朝" w:hAnsi="ＭＳ 明朝"/>
                <w:color w:val="000000" w:themeColor="text1"/>
                <w:kern w:val="0"/>
                <w:u w:val="single" w:color="auto"/>
              </w:rPr>
              <w:t>※</w:t>
            </w:r>
            <w:r>
              <w:rPr>
                <w:rFonts w:hint="eastAsia" w:ascii="ＭＳ 明朝" w:hAnsi="ＭＳ 明朝"/>
                <w:color w:val="000000" w:themeColor="text1"/>
                <w:kern w:val="0"/>
                <w:u w:val="single" w:color="auto"/>
              </w:rPr>
              <w:t>R</w:t>
            </w:r>
            <w:r>
              <w:rPr>
                <w:rFonts w:hint="eastAsia" w:ascii="ＭＳ 明朝" w:hAnsi="ＭＳ 明朝"/>
                <w:color w:val="000000" w:themeColor="text1"/>
                <w:kern w:val="0"/>
                <w:u w:val="single" w:color="auto"/>
              </w:rPr>
              <w:t>４年４月路線再編予定</w:t>
            </w:r>
          </w:p>
          <w:p>
            <w:pPr>
              <w:pStyle w:val="15"/>
              <w:numPr>
                <w:ilvl w:val="0"/>
                <w:numId w:val="0"/>
              </w:numPr>
              <w:spacing w:before="0" w:beforeLines="0" w:beforeAutospacing="0" w:after="0" w:afterLines="0" w:afterAutospacing="0"/>
              <w:ind w:left="200" w:hanging="200" w:hangingChars="100"/>
              <w:rPr>
                <w:rFonts w:hint="default" w:ascii="ＭＳ 明朝" w:hAnsi="ＭＳ 明朝"/>
                <w:color w:val="000000" w:themeColor="text1"/>
                <w:kern w:val="0"/>
                <w:u w:val="single" w:color="auto"/>
              </w:rPr>
            </w:pPr>
            <w:r>
              <w:rPr>
                <w:rFonts w:hint="eastAsia" w:ascii="ＭＳ 明朝" w:hAnsi="ＭＳ 明朝"/>
                <w:color w:val="000000" w:themeColor="text1"/>
                <w:kern w:val="0"/>
              </w:rPr>
              <w:t>⇒</w:t>
            </w:r>
            <w:r>
              <w:rPr>
                <w:rFonts w:hint="eastAsia" w:ascii="ＭＳ 明朝" w:hAnsi="ＭＳ 明朝"/>
                <w:color w:val="000000" w:themeColor="text1"/>
                <w:kern w:val="0"/>
                <w:u w:val="single" w:color="auto"/>
              </w:rPr>
              <w:t>短期大学～倉吉駅～西倉吉間について、夕夜間の時間帯に限定した路線の試験的な運行を実施予定</w:t>
            </w:r>
            <w:r>
              <w:rPr>
                <w:rFonts w:hint="eastAsia" w:ascii="ＭＳ 明朝" w:hAnsi="ＭＳ 明朝"/>
                <w:color w:val="000000" w:themeColor="text1"/>
                <w:kern w:val="0"/>
              </w:rPr>
              <w:t>。</w:t>
            </w:r>
          </w:p>
          <w:p>
            <w:pPr>
              <w:pStyle w:val="15"/>
              <w:numPr>
                <w:ilvl w:val="0"/>
                <w:numId w:val="0"/>
              </w:numPr>
              <w:spacing w:before="0" w:beforeLines="0" w:beforeAutospacing="0" w:after="0" w:afterLines="0" w:afterAutospacing="0"/>
              <w:ind w:left="200" w:hanging="200" w:hangingChars="100"/>
              <w:rPr>
                <w:rFonts w:hint="default" w:ascii="ＭＳ 明朝" w:hAnsi="ＭＳ 明朝"/>
                <w:color w:val="000000" w:themeColor="text1"/>
                <w:kern w:val="0"/>
              </w:rPr>
            </w:pPr>
          </w:p>
          <w:p>
            <w:pPr>
              <w:pStyle w:val="0"/>
              <w:rPr>
                <w:rFonts w:hint="default" w:ascii="ＭＳ 明朝" w:hAnsi="ＭＳ 明朝"/>
                <w:color w:val="000000" w:themeColor="text1"/>
              </w:rPr>
            </w:pPr>
          </w:p>
        </w:tc>
      </w:tr>
    </w:tbl>
    <w:p>
      <w:pPr>
        <w:pStyle w:val="0"/>
        <w:rPr>
          <w:rFonts w:hint="default"/>
          <w:sz w:val="10"/>
        </w:rPr>
      </w:pPr>
    </w:p>
    <w:sectPr>
      <w:footerReference r:id="rId6" w:type="default"/>
      <w:pgSz w:w="11906" w:h="16838"/>
      <w:pgMar w:top="1134" w:right="1134" w:bottom="1134" w:left="1134" w:header="851" w:footer="284" w:gutter="0"/>
      <w:cols w:space="720"/>
      <w:textDirection w:val="lrTb"/>
      <w:docGrid w:type="linesAndChars" w:linePitch="290" w:charSpace="-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Wingdings 3">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374288118"/>
      <w:docPartObj>
        <w:docPartGallery w:val="Page Numbers (Bottom of Page)"/>
        <w:docPartUnique/>
      </w:docPartObj>
    </w:sdtPr>
    <w:sdtEndPr>
      <w:rPr>
        <w:rFonts w:hint="default"/>
      </w:rPr>
    </w:sdtEndPr>
    <w:sdtContent>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1"/>
      <w:jc w:val="center"/>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A3AED710"/>
    <w:lvl w:ilvl="0">
      <w:numFmt w:val="bullet"/>
      <w:pStyle w:val="15"/>
      <w:lvlText w:val="○"/>
      <w:lvlJc w:val="left"/>
      <w:pPr>
        <w:tabs>
          <w:tab w:val="num" w:leader="none" w:pos="227"/>
        </w:tabs>
        <w:ind w:left="227" w:hanging="227"/>
      </w:pPr>
      <w:rPr>
        <w:rFonts w:hint="eastAsia" w:ascii="ＭＳ 明朝" w:hAnsi="ＭＳ 明朝" w:eastAsia="ＭＳ 明朝"/>
        <w:b w:val="0"/>
        <w:i w:val="0"/>
        <w:color w:val="000000"/>
        <w:sz w:val="20"/>
      </w:rPr>
    </w:lvl>
    <w:lvl w:ilvl="1">
      <w:numFmt w:val="bullet"/>
      <w:lvlText w:val=""/>
      <w:lvlJc w:val="left"/>
      <w:pPr>
        <w:ind w:left="840" w:hanging="420"/>
      </w:pPr>
      <w:rPr>
        <w:rFonts w:hint="default" w:ascii="Wingdings" w:hAnsi="Wingdings"/>
      </w:rPr>
    </w:lvl>
    <w:lvl w:ilvl="2">
      <w:numFmt w:val="bullet"/>
      <w:lvlText w:val=""/>
      <w:lvlJc w:val="left"/>
      <w:pPr>
        <w:ind w:left="1260" w:hanging="420"/>
      </w:pPr>
      <w:rPr>
        <w:rFonts w:hint="default" w:ascii="Wingdings" w:hAnsi="Wingdings"/>
      </w:rPr>
    </w:lvl>
    <w:lvl w:ilvl="3">
      <w:numFmt w:val="bullet"/>
      <w:lvlText w:val=""/>
      <w:lvlJc w:val="left"/>
      <w:pPr>
        <w:ind w:left="1680" w:hanging="420"/>
      </w:pPr>
      <w:rPr>
        <w:rFonts w:hint="default" w:ascii="Wingdings" w:hAnsi="Wingdings"/>
      </w:rPr>
    </w:lvl>
    <w:lvl w:ilvl="4">
      <w:numFmt w:val="bullet"/>
      <w:lvlText w:val=""/>
      <w:lvlJc w:val="left"/>
      <w:pPr>
        <w:ind w:left="2100" w:hanging="420"/>
      </w:pPr>
      <w:rPr>
        <w:rFonts w:hint="default" w:ascii="Wingdings" w:hAnsi="Wingdings"/>
      </w:rPr>
    </w:lvl>
    <w:lvl w:ilvl="5">
      <w:numFmt w:val="bullet"/>
      <w:lvlText w:val=""/>
      <w:lvlJc w:val="left"/>
      <w:pPr>
        <w:ind w:left="2520" w:hanging="420"/>
      </w:pPr>
      <w:rPr>
        <w:rFonts w:hint="default" w:ascii="Wingdings" w:hAnsi="Wingdings"/>
      </w:rPr>
    </w:lvl>
    <w:lvl w:ilvl="6">
      <w:numFmt w:val="bullet"/>
      <w:lvlText w:val=""/>
      <w:lvlJc w:val="left"/>
      <w:pPr>
        <w:ind w:left="2940" w:hanging="420"/>
      </w:pPr>
      <w:rPr>
        <w:rFonts w:hint="default" w:ascii="Wingdings" w:hAnsi="Wingdings"/>
      </w:rPr>
    </w:lvl>
    <w:lvl w:ilvl="7">
      <w:numFmt w:val="bullet"/>
      <w:lvlText w:val=""/>
      <w:lvlJc w:val="left"/>
      <w:pPr>
        <w:ind w:left="3360" w:hanging="420"/>
      </w:pPr>
      <w:rPr>
        <w:rFonts w:hint="default" w:ascii="Wingdings" w:hAnsi="Wingdings"/>
      </w:rPr>
    </w:lvl>
    <w:lvl w:ilvl="8">
      <w:numFmt w:val="bullet"/>
      <w:lvlText w:val=""/>
      <w:lvlJc w:val="left"/>
      <w:pPr>
        <w:ind w:left="3780" w:hanging="420"/>
      </w:pPr>
      <w:rPr>
        <w:rFonts w:hint="default" w:ascii="Wingdings" w:hAnsi="Wingdings"/>
      </w:rPr>
    </w:lvl>
  </w:abstractNum>
  <w:abstractNum w:abstractNumId="1">
    <w:nsid w:val="00000002"/>
    <w:multiLevelType w:val="multilevel"/>
    <w:tmpl w:val="B7AEFB94"/>
    <w:lvl w:ilvl="0">
      <w:numFmt w:val="bullet"/>
      <w:pStyle w:val="29"/>
      <w:lvlText w:val=""/>
      <w:lvlJc w:val="left"/>
      <w:pPr>
        <w:tabs>
          <w:tab w:val="num" w:leader="none" w:pos="284"/>
        </w:tabs>
        <w:ind w:left="284" w:hanging="171"/>
      </w:pPr>
      <w:rPr>
        <w:rFonts w:hint="default" w:ascii="Wingdings" w:hAnsi="Wingdings"/>
      </w:rPr>
    </w:lvl>
    <w:lvl w:ilvl="1">
      <w:numFmt w:val="bullet"/>
      <w:lvlText w:val=""/>
      <w:lvlJc w:val="left"/>
      <w:pPr>
        <w:ind w:left="1050" w:hanging="420"/>
      </w:pPr>
      <w:rPr>
        <w:rFonts w:hint="default" w:ascii="Wingdings" w:hAnsi="Wingdings"/>
      </w:rPr>
    </w:lvl>
    <w:lvl w:ilvl="2">
      <w:numFmt w:val="bullet"/>
      <w:lvlText w:val=""/>
      <w:lvlJc w:val="left"/>
      <w:pPr>
        <w:ind w:left="1470" w:hanging="420"/>
      </w:pPr>
      <w:rPr>
        <w:rFonts w:hint="default" w:ascii="Wingdings" w:hAnsi="Wingdings"/>
      </w:rPr>
    </w:lvl>
    <w:lvl w:ilvl="3">
      <w:numFmt w:val="bullet"/>
      <w:lvlText w:val=""/>
      <w:lvlJc w:val="left"/>
      <w:pPr>
        <w:ind w:left="1890" w:hanging="420"/>
      </w:pPr>
      <w:rPr>
        <w:rFonts w:hint="default" w:ascii="Wingdings" w:hAnsi="Wingdings"/>
      </w:rPr>
    </w:lvl>
    <w:lvl w:ilvl="4">
      <w:numFmt w:val="bullet"/>
      <w:lvlText w:val=""/>
      <w:lvlJc w:val="left"/>
      <w:pPr>
        <w:ind w:left="2310" w:hanging="420"/>
      </w:pPr>
      <w:rPr>
        <w:rFonts w:hint="default" w:ascii="Wingdings" w:hAnsi="Wingdings"/>
      </w:rPr>
    </w:lvl>
    <w:lvl w:ilvl="5">
      <w:numFmt w:val="bullet"/>
      <w:lvlText w:val=""/>
      <w:lvlJc w:val="left"/>
      <w:pPr>
        <w:ind w:left="2730" w:hanging="420"/>
      </w:pPr>
      <w:rPr>
        <w:rFonts w:hint="default" w:ascii="Wingdings" w:hAnsi="Wingdings"/>
      </w:rPr>
    </w:lvl>
    <w:lvl w:ilvl="6">
      <w:numFmt w:val="bullet"/>
      <w:lvlText w:val=""/>
      <w:lvlJc w:val="left"/>
      <w:pPr>
        <w:ind w:left="3150" w:hanging="420"/>
      </w:pPr>
      <w:rPr>
        <w:rFonts w:hint="default" w:ascii="Wingdings" w:hAnsi="Wingdings"/>
      </w:rPr>
    </w:lvl>
    <w:lvl w:ilvl="7">
      <w:numFmt w:val="bullet"/>
      <w:lvlText w:val=""/>
      <w:lvlJc w:val="left"/>
      <w:pPr>
        <w:ind w:left="3570" w:hanging="420"/>
      </w:pPr>
      <w:rPr>
        <w:rFonts w:hint="default" w:ascii="Wingdings" w:hAnsi="Wingdings"/>
      </w:rPr>
    </w:lvl>
    <w:lvl w:ilvl="8">
      <w:numFmt w:val="bullet"/>
      <w:lvlText w:val=""/>
      <w:lvlJc w:val="left"/>
      <w:pPr>
        <w:ind w:left="3990" w:hanging="420"/>
      </w:pPr>
      <w:rPr>
        <w:rFonts w:hint="default" w:ascii="Wingdings" w:hAnsi="Wingdings"/>
      </w:rPr>
    </w:lvl>
  </w:abstractNum>
  <w:abstractNum w:abstractNumId="2">
    <w:nsid w:val="00000003"/>
    <w:multiLevelType w:val="multilevel"/>
    <w:tmpl w:val="C18EF58A"/>
    <w:lvl w:ilvl="0">
      <w:numFmt w:val="bullet"/>
      <w:pStyle w:val="31"/>
      <w:lvlText w:val=""/>
      <w:lvlJc w:val="left"/>
      <w:pPr>
        <w:tabs>
          <w:tab w:val="num" w:leader="none" w:pos="454"/>
        </w:tabs>
        <w:ind w:left="454" w:hanging="341"/>
      </w:pPr>
      <w:rPr>
        <w:rFonts w:hint="default" w:ascii="Wingdings 3" w:hAnsi="Wingdings 3"/>
        <w:sz w:val="20"/>
      </w:rPr>
    </w:lvl>
    <w:lvl w:ilvl="1">
      <w:numFmt w:val="bullet"/>
      <w:lvlText w:val=""/>
      <w:lvlJc w:val="left"/>
      <w:pPr>
        <w:ind w:left="840" w:hanging="420"/>
      </w:pPr>
      <w:rPr>
        <w:rFonts w:hint="default" w:ascii="Wingdings" w:hAnsi="Wingdings"/>
      </w:rPr>
    </w:lvl>
    <w:lvl w:ilvl="2">
      <w:numFmt w:val="bullet"/>
      <w:lvlText w:val=""/>
      <w:lvlJc w:val="left"/>
      <w:pPr>
        <w:ind w:left="1260" w:hanging="420"/>
      </w:pPr>
      <w:rPr>
        <w:rFonts w:hint="default" w:ascii="Wingdings" w:hAnsi="Wingdings"/>
      </w:rPr>
    </w:lvl>
    <w:lvl w:ilvl="3">
      <w:numFmt w:val="bullet"/>
      <w:lvlText w:val=""/>
      <w:lvlJc w:val="left"/>
      <w:pPr>
        <w:ind w:left="1680" w:hanging="420"/>
      </w:pPr>
      <w:rPr>
        <w:rFonts w:hint="default" w:ascii="Wingdings" w:hAnsi="Wingdings"/>
      </w:rPr>
    </w:lvl>
    <w:lvl w:ilvl="4">
      <w:numFmt w:val="bullet"/>
      <w:lvlText w:val=""/>
      <w:lvlJc w:val="left"/>
      <w:pPr>
        <w:ind w:left="2100" w:hanging="420"/>
      </w:pPr>
      <w:rPr>
        <w:rFonts w:hint="default" w:ascii="Wingdings" w:hAnsi="Wingdings"/>
      </w:rPr>
    </w:lvl>
    <w:lvl w:ilvl="5">
      <w:numFmt w:val="bullet"/>
      <w:lvlText w:val=""/>
      <w:lvlJc w:val="left"/>
      <w:pPr>
        <w:ind w:left="2520" w:hanging="420"/>
      </w:pPr>
      <w:rPr>
        <w:rFonts w:hint="default" w:ascii="Wingdings" w:hAnsi="Wingdings"/>
      </w:rPr>
    </w:lvl>
    <w:lvl w:ilvl="6">
      <w:numFmt w:val="bullet"/>
      <w:lvlText w:val=""/>
      <w:lvlJc w:val="left"/>
      <w:pPr>
        <w:ind w:left="2940" w:hanging="420"/>
      </w:pPr>
      <w:rPr>
        <w:rFonts w:hint="default" w:ascii="Wingdings" w:hAnsi="Wingdings"/>
      </w:rPr>
    </w:lvl>
    <w:lvl w:ilvl="7">
      <w:numFmt w:val="bullet"/>
      <w:lvlText w:val=""/>
      <w:lvlJc w:val="left"/>
      <w:pPr>
        <w:ind w:left="3360" w:hanging="420"/>
      </w:pPr>
      <w:rPr>
        <w:rFonts w:hint="default" w:ascii="Wingdings" w:hAnsi="Wingdings"/>
      </w:rPr>
    </w:lvl>
    <w:lvl w:ilvl="8">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表中箇条書き"/>
    <w:next w:val="15"/>
    <w:link w:val="16"/>
    <w:uiPriority w:val="0"/>
    <w:qFormat/>
    <w:pPr>
      <w:numPr>
        <w:ilvl w:val="0"/>
        <w:numId w:val="1"/>
      </w:numPr>
      <w:snapToGrid w:val="0"/>
      <w:spacing w:before="30" w:beforeLines="0" w:beforeAutospacing="0" w:after="30" w:afterLines="0" w:afterAutospacing="0" w:line="240" w:lineRule="exact"/>
    </w:pPr>
    <w:rPr>
      <w:rFonts w:ascii="Times New Roman" w:hAnsi="Times New Roman"/>
      <w:snapToGrid w:val="0"/>
      <w:kern w:val="2"/>
    </w:rPr>
  </w:style>
  <w:style w:type="character" w:styleId="16" w:customStyle="1">
    <w:name w:val="表中箇条書き (文字)"/>
    <w:next w:val="16"/>
    <w:link w:val="15"/>
    <w:uiPriority w:val="0"/>
    <w:rPr>
      <w:rFonts w:ascii="Times New Roman" w:hAnsi="Times New Roman"/>
      <w:snapToGrid w:val="0"/>
      <w:kern w:val="2"/>
    </w:rPr>
  </w:style>
  <w:style w:type="paragraph" w:styleId="17" w:customStyle="1">
    <w:name w:val="表左揃え"/>
    <w:next w:val="17"/>
    <w:link w:val="18"/>
    <w:uiPriority w:val="0"/>
    <w:qFormat/>
    <w:pPr>
      <w:snapToGrid w:val="0"/>
      <w:spacing w:before="60" w:beforeLines="0" w:beforeAutospacing="0" w:after="60" w:afterLines="0" w:afterAutospacing="0" w:line="240" w:lineRule="exact"/>
    </w:pPr>
    <w:rPr>
      <w:rFonts w:ascii="Times New Roman" w:hAnsi="Times New Roman"/>
      <w:snapToGrid w:val="0"/>
    </w:rPr>
  </w:style>
  <w:style w:type="character" w:styleId="18" w:customStyle="1">
    <w:name w:val="表左揃え (文字)"/>
    <w:next w:val="18"/>
    <w:link w:val="17"/>
    <w:uiPriority w:val="0"/>
    <w:rPr>
      <w:rFonts w:ascii="Times New Roman" w:hAnsi="Times New Roman"/>
      <w:snapToGrid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paragraph" w:styleId="25" w:customStyle="1">
    <w:name w:val="事業"/>
    <w:next w:val="25"/>
    <w:link w:val="27"/>
    <w:uiPriority w:val="0"/>
    <w:qFormat/>
    <w:pPr>
      <w:snapToGrid w:val="0"/>
      <w:spacing w:before="60" w:beforeLines="0" w:beforeAutospacing="0" w:after="60" w:afterLines="0" w:afterAutospacing="0"/>
      <w:ind w:left="-2" w:leftChars="-1"/>
    </w:pPr>
    <w:rPr>
      <w:rFonts w:ascii="ＭＳ ゴシック" w:hAnsi="ＭＳ ゴシック" w:eastAsia="ＭＳ ゴシック"/>
      <w:snapToGrid w:val="0"/>
      <w:bdr w:val="single" w:color="auto" w:sz="4" w:space="0"/>
    </w:rPr>
  </w:style>
  <w:style w:type="paragraph" w:styleId="26">
    <w:name w:val="No Spacing"/>
    <w:next w:val="26"/>
    <w:link w:val="0"/>
    <w:uiPriority w:val="0"/>
    <w:qFormat/>
    <w:pPr>
      <w:widowControl w:val="0"/>
      <w:snapToGrid w:val="0"/>
      <w:spacing w:line="60" w:lineRule="exact"/>
      <w:jc w:val="both"/>
    </w:pPr>
    <w:rPr>
      <w:kern w:val="2"/>
      <w:sz w:val="21"/>
    </w:rPr>
  </w:style>
  <w:style w:type="character" w:styleId="27" w:customStyle="1">
    <w:name w:val="事業 (文字)"/>
    <w:next w:val="27"/>
    <w:link w:val="25"/>
    <w:uiPriority w:val="0"/>
    <w:rPr>
      <w:rFonts w:ascii="ＭＳ ゴシック" w:hAnsi="ＭＳ ゴシック" w:eastAsia="ＭＳ ゴシック"/>
      <w:snapToGrid w:val="0"/>
      <w:bdr w:val="single" w:color="auto" w:sz="4" w:space="0"/>
    </w:rPr>
  </w:style>
  <w:style w:type="paragraph" w:styleId="28" w:customStyle="1">
    <w:name w:val="検討主体"/>
    <w:next w:val="28"/>
    <w:link w:val="30"/>
    <w:uiPriority w:val="0"/>
    <w:qFormat/>
    <w:pPr>
      <w:snapToGrid w:val="0"/>
      <w:spacing w:before="30" w:beforeLines="0" w:beforeAutospacing="0" w:after="30" w:afterLines="0" w:afterAutospacing="0" w:line="220" w:lineRule="exact"/>
    </w:pPr>
    <w:rPr>
      <w:rFonts w:ascii="Times New Roman" w:hAnsi="Times New Roman" w:eastAsia="ＭＳ Ｐ明朝"/>
      <w:snapToGrid w:val="0"/>
      <w:sz w:val="18"/>
    </w:rPr>
  </w:style>
  <w:style w:type="paragraph" w:styleId="29" w:customStyle="1">
    <w:name w:val="表2箇条書き"/>
    <w:next w:val="29"/>
    <w:link w:val="32"/>
    <w:uiPriority w:val="0"/>
    <w:qFormat/>
    <w:pPr>
      <w:numPr>
        <w:ilvl w:val="0"/>
        <w:numId w:val="2"/>
      </w:numPr>
      <w:snapToGrid w:val="0"/>
      <w:spacing w:before="60" w:beforeLines="0" w:beforeAutospacing="0" w:after="60" w:afterLines="0" w:afterAutospacing="0" w:line="240" w:lineRule="exact"/>
    </w:pPr>
    <w:rPr>
      <w:rFonts w:ascii="Times New Roman" w:hAnsi="Times New Roman" w:eastAsia="ＭＳ Ｐ明朝"/>
      <w:snapToGrid w:val="0"/>
    </w:rPr>
  </w:style>
  <w:style w:type="character" w:styleId="30" w:customStyle="1">
    <w:name w:val="検討主体 (文字)"/>
    <w:next w:val="30"/>
    <w:link w:val="28"/>
    <w:uiPriority w:val="0"/>
    <w:rPr>
      <w:rFonts w:ascii="Times New Roman" w:hAnsi="Times New Roman" w:eastAsia="ＭＳ Ｐ明朝"/>
      <w:snapToGrid w:val="0"/>
      <w:sz w:val="18"/>
    </w:rPr>
  </w:style>
  <w:style w:type="paragraph" w:styleId="31" w:customStyle="1">
    <w:name w:val="yajirushi"/>
    <w:next w:val="31"/>
    <w:link w:val="33"/>
    <w:uiPriority w:val="0"/>
    <w:qFormat/>
    <w:pPr>
      <w:numPr>
        <w:ilvl w:val="0"/>
        <w:numId w:val="3"/>
      </w:numPr>
      <w:snapToGrid w:val="0"/>
      <w:spacing w:before="60" w:beforeLines="0" w:beforeAutospacing="0" w:after="60" w:afterLines="0" w:afterAutospacing="0" w:line="240" w:lineRule="exact"/>
    </w:pPr>
    <w:rPr>
      <w:rFonts w:ascii="Times New Roman" w:hAnsi="Times New Roman" w:eastAsia="ＭＳ Ｐ明朝"/>
      <w:snapToGrid w:val="0"/>
    </w:rPr>
  </w:style>
  <w:style w:type="character" w:styleId="32" w:customStyle="1">
    <w:name w:val="表2箇条書き (文字)"/>
    <w:next w:val="32"/>
    <w:link w:val="29"/>
    <w:uiPriority w:val="0"/>
    <w:rPr>
      <w:rFonts w:ascii="Times New Roman" w:hAnsi="Times New Roman" w:eastAsia="ＭＳ Ｐ明朝"/>
      <w:snapToGrid w:val="0"/>
    </w:rPr>
  </w:style>
  <w:style w:type="character" w:styleId="33" w:customStyle="1">
    <w:name w:val="yajirushi (文字)"/>
    <w:next w:val="33"/>
    <w:link w:val="31"/>
    <w:uiPriority w:val="0"/>
    <w:rPr>
      <w:rFonts w:ascii="Times New Roman" w:hAnsi="Times New Roman" w:eastAsia="ＭＳ Ｐ明朝"/>
      <w:snapToGrid w:val="0"/>
    </w:rPr>
  </w:style>
  <w:style w:type="paragraph" w:styleId="34">
    <w:name w:val="Date"/>
    <w:basedOn w:val="0"/>
    <w:next w:val="0"/>
    <w:link w:val="35"/>
    <w:uiPriority w:val="0"/>
  </w:style>
  <w:style w:type="character" w:styleId="35" w:customStyle="1">
    <w:name w:val="日付 (文字)"/>
    <w:basedOn w:val="10"/>
    <w:next w:val="35"/>
    <w:link w:val="34"/>
    <w:uiPriority w:val="0"/>
    <w:rPr>
      <w:kern w:val="2"/>
      <w:sz w:val="21"/>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openxmlformats.org/officeDocument/2006/relationships/footer" Target="footer1.xml" />
  <Relationship Id="rId7"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