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i w:val="1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i w:val="1"/>
          <w:sz w:val="24"/>
        </w:rPr>
        <w:t>＊＊＊エルタックスによる給与支払報告書を提出する際のお願い＊＊＊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i w:val="1"/>
          <w:sz w:val="21"/>
        </w:rPr>
      </w:pPr>
    </w:p>
    <w:p>
      <w:pPr>
        <w:pStyle w:val="0"/>
        <w:ind w:left="210" w:leftChars="1" w:hanging="208" w:hangingChars="99"/>
        <w:jc w:val="left"/>
        <w:rPr>
          <w:rFonts w:hint="eastAsia" w:ascii="ＭＳ ゴシック" w:hAnsi="ＭＳ ゴシック" w:eastAsia="ＭＳ ゴシック"/>
          <w:b w:val="1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color w:val="auto"/>
        </w:rPr>
        <w:t>１．「指定番号」の入力について</w:t>
      </w:r>
    </w:p>
    <w:p>
      <w:pPr>
        <w:pStyle w:val="0"/>
        <w:spacing w:line="240" w:lineRule="atLeast"/>
        <w:ind w:left="210" w:leftChars="100" w:firstLine="210" w:firstLineChars="100"/>
        <w:jc w:val="lef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color w:val="FF0000"/>
        </w:rPr>
        <w:t>第</w:t>
      </w:r>
      <w:r>
        <w:rPr>
          <w:rFonts w:hint="eastAsia" w:ascii="ＭＳ ゴシック" w:hAnsi="ＭＳ ゴシック" w:eastAsia="ＭＳ ゴシック"/>
          <w:color w:val="FF0000"/>
        </w:rPr>
        <w:t>17</w:t>
      </w:r>
      <w:r>
        <w:rPr>
          <w:rFonts w:hint="eastAsia" w:ascii="ＭＳ ゴシック" w:hAnsi="ＭＳ ゴシック" w:eastAsia="ＭＳ ゴシック"/>
          <w:color w:val="FF0000"/>
        </w:rPr>
        <w:t>号様式「給与支払報告書（総括表）」の「指定番号」欄の入力をお願いします。</w:t>
      </w:r>
    </w:p>
    <w:p>
      <w:pPr>
        <w:pStyle w:val="0"/>
        <w:spacing w:line="240" w:lineRule="atLeast"/>
        <w:ind w:left="210" w:leftChars="100" w:firstLine="200" w:firstLineChars="100"/>
        <w:jc w:val="lef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「指定番号」は、前年に給与支払報告書を提出している場合に、倉吉市から送付しております</w:t>
      </w:r>
    </w:p>
    <w:p>
      <w:pPr>
        <w:pStyle w:val="0"/>
        <w:autoSpaceDE w:val="0"/>
        <w:autoSpaceDN w:val="0"/>
        <w:adjustRightInd w:val="0"/>
        <w:spacing w:line="240" w:lineRule="atLeast"/>
        <w:ind w:firstLine="200" w:firstLineChars="100"/>
        <w:jc w:val="lef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「特別徴収税額通知書」に記載されています（新規の場合は、記入の必要はありません）。</w:t>
      </w:r>
    </w:p>
    <w:p>
      <w:pPr>
        <w:pStyle w:val="0"/>
        <w:autoSpaceDE w:val="0"/>
        <w:autoSpaceDN w:val="0"/>
        <w:adjustRightInd w:val="0"/>
        <w:spacing w:line="240" w:lineRule="atLeast"/>
        <w:ind w:firstLine="400" w:firstLineChars="200"/>
        <w:jc w:val="lef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ご不明な場合は、倉吉市までお問い合わせください。</w:t>
      </w:r>
    </w:p>
    <w:p>
      <w:pPr>
        <w:pStyle w:val="0"/>
        <w:spacing w:line="240" w:lineRule="atLeast"/>
        <w:ind w:left="2" w:leftChars="1" w:firstLine="380" w:firstLineChars="200"/>
        <w:jc w:val="lef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19"/>
        </w:rPr>
        <w:t>※</w:t>
      </w:r>
      <w:r>
        <w:rPr>
          <w:rFonts w:hint="eastAsia" w:ascii="ＭＳ ゴシック" w:hAnsi="ＭＳ ゴシック" w:eastAsia="ＭＳ ゴシック"/>
          <w:sz w:val="19"/>
          <w:u w:val="none" w:color="auto"/>
        </w:rPr>
        <w:t>特別徴収対象者がいない場合においても、上記の指定番号の入力についてご協力をお願いします。</w:t>
      </w:r>
    </w:p>
    <w:p>
      <w:pPr>
        <w:pStyle w:val="0"/>
        <w:ind w:left="210" w:leftChars="1" w:hanging="208" w:hangingChars="99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ind w:left="210" w:leftChars="1" w:hanging="208" w:hangingChars="99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２．特別徴収税額通知の受取方法について</w:t>
      </w:r>
    </w:p>
    <w:p>
      <w:pPr>
        <w:pStyle w:val="0"/>
        <w:ind w:left="210" w:leftChars="100" w:firstLine="210" w:firstLineChars="10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希望する特別徴収税額通知の受取方法で「電子データ（正本）」もしくは「書面（正本）＋電子データ（副本）」を選択された場合は、必ず通知先</w:t>
      </w:r>
      <w:r>
        <w:rPr>
          <w:rFonts w:hint="eastAsia" w:ascii="ＭＳ ゴシック" w:hAnsi="ＭＳ ゴシック" w:eastAsia="ＭＳ ゴシック"/>
        </w:rPr>
        <w:t>e-Mail</w:t>
      </w:r>
      <w:r>
        <w:rPr>
          <w:rFonts w:hint="eastAsia" w:ascii="ＭＳ ゴシック" w:hAnsi="ＭＳ ゴシック" w:eastAsia="ＭＳ ゴシック"/>
        </w:rPr>
        <w:t>を入力してください。</w:t>
      </w:r>
    </w:p>
    <w:p>
      <w:pPr>
        <w:pStyle w:val="0"/>
        <w:ind w:left="210" w:leftChars="1" w:hanging="208" w:hangingChars="99"/>
        <w:jc w:val="left"/>
        <w:rPr>
          <w:rFonts w:hint="eastAsia" w:ascii="ＭＳ ゴシック" w:hAnsi="ＭＳ ゴシック" w:eastAsia="ＭＳ ゴシック"/>
        </w:rPr>
      </w:pPr>
      <w:r>
        <w:rPr>
          <w:rFonts w:hint="eastAsia"/>
        </w:rPr>
        <w:drawing>
          <wp:inline distT="0" distB="0" distL="203200" distR="203200">
            <wp:extent cx="4778375" cy="1463040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rcRect r="17052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spacing w:line="240" w:lineRule="atLeast"/>
        <w:ind w:left="210" w:leftChars="1" w:hanging="208" w:hangingChars="99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○書面（正本）　紙の税額通知書が正本となり、データは送信されません。</w:t>
      </w:r>
    </w:p>
    <w:p>
      <w:pPr>
        <w:pStyle w:val="0"/>
        <w:spacing w:line="240" w:lineRule="atLeast"/>
        <w:ind w:left="420" w:leftChars="1" w:hanging="418" w:hangingChars="199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○書面（正本）＋電子データ（副本）　紙の税額通知書が正本となります。当初決定通知のみデータも送信します。※倉吉市の場合</w:t>
      </w:r>
    </w:p>
    <w:p>
      <w:pPr>
        <w:pStyle w:val="0"/>
        <w:spacing w:line="240" w:lineRule="atLeast"/>
        <w:ind w:left="420" w:leftChars="1" w:hanging="418" w:hangingChars="199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○電子（正本）　当初決定通知及び変更通知をデータで送信します。</w:t>
      </w:r>
    </w:p>
    <w:p>
      <w:pPr>
        <w:pStyle w:val="0"/>
        <w:spacing w:line="240" w:lineRule="atLeast"/>
        <w:ind w:left="210" w:leftChars="1" w:hanging="208" w:hangingChars="99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ab/>
      </w:r>
      <w:r>
        <w:rPr>
          <w:rFonts w:hint="eastAsia" w:ascii="ＭＳ ゴシック" w:hAnsi="ＭＳ ゴシック" w:eastAsia="ＭＳ ゴシック"/>
          <w:w w:val="100"/>
          <w:sz w:val="18"/>
        </w:rPr>
        <w:t>※給与支払報告書の提出後に</w:t>
      </w:r>
      <w:r>
        <w:rPr>
          <w:rFonts w:hint="eastAsia" w:ascii="ＭＳ ゴシック" w:hAnsi="ＭＳ ゴシック" w:eastAsia="ＭＳ ゴシック"/>
          <w:w w:val="100"/>
          <w:sz w:val="18"/>
        </w:rPr>
        <w:t xml:space="preserve">e-Mail </w:t>
      </w:r>
      <w:r>
        <w:rPr>
          <w:rFonts w:hint="eastAsia" w:ascii="ＭＳ ゴシック" w:hAnsi="ＭＳ ゴシック" w:eastAsia="ＭＳ ゴシック"/>
          <w:w w:val="100"/>
          <w:sz w:val="18"/>
        </w:rPr>
        <w:t>アドレスの変更が必要になった場合は</w:t>
      </w:r>
      <w:r>
        <w:rPr>
          <w:rFonts w:hint="eastAsia" w:ascii="ＭＳ ゴシック" w:hAnsi="ＭＳ ゴシック" w:eastAsia="ＭＳ ゴシック"/>
          <w:w w:val="100"/>
          <w:sz w:val="18"/>
        </w:rPr>
        <w:t xml:space="preserve"> </w:t>
      </w:r>
      <w:r>
        <w:rPr>
          <w:rFonts w:hint="eastAsia" w:ascii="ＭＳ ゴシック" w:hAnsi="ＭＳ ゴシック" w:eastAsia="ＭＳ ゴシック"/>
          <w:w w:val="100"/>
          <w:sz w:val="18"/>
        </w:rPr>
        <w:t>倉吉市へお問い合わせください。</w:t>
      </w:r>
    </w:p>
    <w:p>
      <w:pPr>
        <w:pStyle w:val="0"/>
        <w:ind w:left="210" w:leftChars="1" w:hanging="208" w:hangingChars="99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ind w:left="210" w:leftChars="1" w:hanging="208" w:hangingChars="99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color w:val="auto"/>
        </w:rPr>
        <w:t>３．普通徴収で報告する場合</w:t>
      </w:r>
    </w:p>
    <w:p>
      <w:pPr>
        <w:pStyle w:val="0"/>
        <w:ind w:left="210" w:leftChars="100" w:firstLine="210" w:firstLineChars="10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auto"/>
        </w:rPr>
        <w:t>普通徴収対象者については、</w:t>
      </w:r>
      <w:r>
        <w:rPr>
          <w:rFonts w:hint="eastAsia" w:ascii="ＭＳ ゴシック" w:hAnsi="ＭＳ ゴシック" w:eastAsia="ＭＳ ゴシック"/>
          <w:color w:val="FF0000"/>
        </w:rPr>
        <w:t>必ず『普通徴収』にチェックを入れ、</w:t>
      </w:r>
      <w:r>
        <w:rPr>
          <w:rFonts w:hint="eastAsia" w:ascii="ＭＳ ゴシック" w:hAnsi="ＭＳ ゴシック" w:eastAsia="ＭＳ ゴシック"/>
          <w:color w:val="auto"/>
        </w:rPr>
        <w:t>特別徴収できない理由として、</w:t>
      </w:r>
      <w:r>
        <w:rPr>
          <w:rFonts w:hint="eastAsia" w:ascii="ＭＳ ゴシック" w:hAnsi="ＭＳ ゴシック" w:eastAsia="ＭＳ ゴシック"/>
          <w:color w:val="FF0000"/>
        </w:rPr>
        <w:t>「摘要」欄に符号「普Ａ～普Ｆ」のいずれか、もしくは普通徴収該当理由の入力</w:t>
      </w:r>
      <w:r>
        <w:rPr>
          <w:rFonts w:hint="eastAsia" w:ascii="ＭＳ ゴシック" w:hAnsi="ＭＳ ゴシック" w:eastAsia="ＭＳ ゴシック"/>
          <w:color w:val="auto"/>
        </w:rPr>
        <w:t>をお願いいたします。</w:t>
      </w:r>
    </w:p>
    <w:tbl>
      <w:tblPr>
        <w:tblStyle w:val="19"/>
        <w:tblpPr w:leftFromText="0" w:rightFromText="0" w:topFromText="0" w:bottomFromText="0" w:vertAnchor="text" w:horzAnchor="margin" w:tblpX="865" w:tblpY="330"/>
        <w:tblOverlap w:val="never"/>
        <w:tblW w:w="7490" w:type="dxa"/>
        <w:tblLayout w:type="fixed"/>
        <w:tblLook w:firstRow="1" w:lastRow="0" w:firstColumn="1" w:lastColumn="0" w:noHBand="0" w:noVBand="1" w:val="04A0"/>
      </w:tblPr>
      <w:tblGrid>
        <w:gridCol w:w="995"/>
        <w:gridCol w:w="6495"/>
      </w:tblGrid>
      <w:tr>
        <w:trPr/>
        <w:tc>
          <w:tcPr>
            <w:tcW w:w="99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符号</w:t>
            </w:r>
          </w:p>
        </w:tc>
        <w:tc>
          <w:tcPr>
            <w:tcW w:w="649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57"/>
                <w:sz w:val="20"/>
                <w:fitText w:val="2400" w:id="1"/>
              </w:rPr>
              <w:t>普通徴収該当理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  <w:fitText w:val="2400" w:id="1"/>
              </w:rPr>
              <w:t>由</w:t>
            </w:r>
          </w:p>
        </w:tc>
      </w:tr>
      <w:tr>
        <w:trPr/>
        <w:tc>
          <w:tcPr>
            <w:tcW w:w="99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普Ａ</w:t>
            </w:r>
          </w:p>
        </w:tc>
        <w:tc>
          <w:tcPr>
            <w:tcW w:w="6495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総従業員が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2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人以下の事業者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（総従業員数＝「総従業員数」－「下記Ｂ～Ｆ該当人数」</w:t>
            </w:r>
          </w:p>
        </w:tc>
      </w:tr>
      <w:tr>
        <w:trPr/>
        <w:tc>
          <w:tcPr>
            <w:tcW w:w="99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普Ｂ</w:t>
            </w:r>
          </w:p>
        </w:tc>
        <w:tc>
          <w:tcPr>
            <w:tcW w:w="6495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他の事業所で特別徴収されている</w:t>
            </w:r>
          </w:p>
        </w:tc>
      </w:tr>
      <w:tr>
        <w:trPr/>
        <w:tc>
          <w:tcPr>
            <w:tcW w:w="99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普Ｃ</w:t>
            </w:r>
          </w:p>
        </w:tc>
        <w:tc>
          <w:tcPr>
            <w:tcW w:w="6495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毎月の給与が少なく、税額が引ききれない（支払少額）</w:t>
            </w:r>
          </w:p>
        </w:tc>
      </w:tr>
      <w:tr>
        <w:trPr/>
        <w:tc>
          <w:tcPr>
            <w:tcW w:w="99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普Ｄ</w:t>
            </w:r>
          </w:p>
        </w:tc>
        <w:tc>
          <w:tcPr>
            <w:tcW w:w="6495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給与の支給が毎月でない（不定期受給）</w:t>
            </w:r>
          </w:p>
        </w:tc>
      </w:tr>
      <w:tr>
        <w:trPr/>
        <w:tc>
          <w:tcPr>
            <w:tcW w:w="99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普Ｅ</w:t>
            </w:r>
          </w:p>
        </w:tc>
        <w:tc>
          <w:tcPr>
            <w:tcW w:w="6495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専従者給与が支給されている※個人事業主のみ対象（専従者）</w:t>
            </w:r>
          </w:p>
        </w:tc>
      </w:tr>
      <w:tr>
        <w:trPr/>
        <w:tc>
          <w:tcPr>
            <w:tcW w:w="99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普Ｆ</w:t>
            </w:r>
          </w:p>
        </w:tc>
        <w:tc>
          <w:tcPr>
            <w:tcW w:w="6495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退職者又は退職予定者（５月末まで）</w:t>
            </w: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</w:p>
    <w:p>
      <w:pPr>
        <w:pStyle w:val="15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0" w:leftChars="0"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0" w:leftChars="0"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column">
              <wp:posOffset>-65405</wp:posOffset>
            </wp:positionH>
            <wp:positionV relativeFrom="paragraph">
              <wp:posOffset>36195</wp:posOffset>
            </wp:positionV>
            <wp:extent cx="5836920" cy="174879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5"/>
        <w:spacing w:before="0" w:beforeLines="0" w:beforeAutospacing="0" w:after="0" w:afterLines="0" w:afterAutospacing="0" w:line="240" w:lineRule="auto"/>
        <w:ind w:left="0" w:leftChars="0"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0" w:leftChars="0"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0" w:leftChars="0"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0" w:leftChars="0"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0" w:leftChars="0"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0" w:leftChars="0"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0" w:leftChars="0"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0" w:leftChars="0"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2"/>
        </w:rPr>
        <w:t>４．給与支払報告書の提出後に異動（退職・休職等）があった場合</w:t>
      </w:r>
    </w:p>
    <w:p>
      <w:pPr>
        <w:pStyle w:val="15"/>
        <w:spacing w:before="0" w:beforeLines="0" w:beforeAutospacing="0" w:after="0" w:afterLines="0" w:afterAutospacing="0" w:line="240" w:lineRule="auto"/>
        <w:ind w:left="0" w:leftChars="0"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(1)</w:t>
      </w:r>
      <w:r>
        <w:rPr>
          <w:rFonts w:hint="eastAsia" w:ascii="ＭＳ ゴシック" w:hAnsi="ＭＳ ゴシック" w:eastAsia="ＭＳ ゴシック"/>
          <w:color w:val="auto"/>
          <w:sz w:val="22"/>
        </w:rPr>
        <w:t>毎月の給与から市県民税を徴収している従業員が退職等したとき</w:t>
      </w:r>
    </w:p>
    <w:p>
      <w:pPr>
        <w:pStyle w:val="15"/>
        <w:spacing w:before="0" w:beforeLines="0" w:beforeAutospacing="0" w:after="0" w:afterLines="0" w:afterAutospacing="0" w:line="240" w:lineRule="auto"/>
        <w:ind w:left="650" w:leftChars="100" w:hanging="440" w:hangingChars="20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</w:t>
      </w:r>
      <w:r>
        <w:rPr>
          <w:rFonts w:hint="eastAsia" w:ascii="ＭＳ ゴシック" w:hAnsi="ＭＳ ゴシック" w:eastAsia="ＭＳ ゴシック"/>
          <w:sz w:val="21"/>
        </w:rPr>
        <w:t>「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特別徴収に係る</w:t>
      </w:r>
      <w:r>
        <w:rPr>
          <w:rFonts w:hint="eastAsia" w:ascii="ＭＳ ゴシック" w:hAnsi="ＭＳ ゴシック" w:eastAsia="ＭＳ ゴシック"/>
          <w:sz w:val="21"/>
        </w:rPr>
        <w:t>給与所得者異動届出書」を、異動事由の発生した月の翌月</w:t>
      </w:r>
      <w:r>
        <w:rPr>
          <w:rFonts w:hint="eastAsia" w:ascii="ＭＳ ゴシック" w:hAnsi="ＭＳ ゴシック" w:eastAsia="ＭＳ ゴシック"/>
          <w:sz w:val="21"/>
        </w:rPr>
        <w:t>10</w:t>
      </w:r>
      <w:r>
        <w:rPr>
          <w:rFonts w:hint="eastAsia" w:ascii="ＭＳ ゴシック" w:hAnsi="ＭＳ ゴシック" w:eastAsia="ＭＳ ゴシック"/>
          <w:sz w:val="21"/>
        </w:rPr>
        <w:t>日までに提出してください。</w:t>
      </w:r>
    </w:p>
    <w:p>
      <w:pPr>
        <w:pStyle w:val="15"/>
        <w:spacing w:before="0" w:beforeLines="0" w:beforeAutospacing="0" w:after="0" w:afterLines="0" w:afterAutospacing="0" w:line="240" w:lineRule="auto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(2)</w:t>
      </w:r>
      <w:r>
        <w:rPr>
          <w:rFonts w:hint="eastAsia" w:ascii="ＭＳ ゴシック" w:hAnsi="ＭＳ ゴシック" w:eastAsia="ＭＳ ゴシック"/>
          <w:color w:val="auto"/>
          <w:sz w:val="22"/>
        </w:rPr>
        <w:t>令和４年度の給与支払報告書を提出した従業員が退職等したとき</w:t>
      </w:r>
    </w:p>
    <w:p>
      <w:pPr>
        <w:pStyle w:val="0"/>
        <w:spacing w:line="240" w:lineRule="auto"/>
        <w:ind w:left="440" w:hanging="440" w:hangingChars="200"/>
        <w:jc w:val="left"/>
        <w:rPr>
          <w:rFonts w:hint="default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　　</w:t>
      </w:r>
      <w:r>
        <w:rPr>
          <w:rFonts w:hint="eastAsia" w:ascii="ＭＳ ゴシック" w:hAnsi="ＭＳ ゴシック" w:eastAsia="ＭＳ ゴシック"/>
          <w:sz w:val="22"/>
          <w:u w:val="none" w:color="auto"/>
        </w:rPr>
        <w:t>令和４年度</w:t>
      </w:r>
      <w:r>
        <w:rPr>
          <w:rFonts w:hint="eastAsia" w:ascii="ＭＳ ゴシック" w:hAnsi="ＭＳ ゴシック" w:eastAsia="ＭＳ ゴシック"/>
          <w:sz w:val="22"/>
        </w:rPr>
        <w:t>の給与支払報告書を「倉吉市」に提出した従業員のうち、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令和３年度の市県民税が「倉吉市」で課税されていない方が退職等した場合</w:t>
      </w:r>
      <w:r>
        <w:rPr>
          <w:rFonts w:hint="eastAsia" w:ascii="ＭＳ ゴシック" w:hAnsi="ＭＳ ゴシック" w:eastAsia="ＭＳ ゴシック"/>
          <w:sz w:val="22"/>
        </w:rPr>
        <w:t>は、「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給与支払報告に係る</w:t>
      </w:r>
      <w:r>
        <w:rPr>
          <w:rFonts w:hint="eastAsia" w:ascii="ＭＳ ゴシック" w:hAnsi="ＭＳ ゴシック" w:eastAsia="ＭＳ ゴシック"/>
          <w:sz w:val="22"/>
        </w:rPr>
        <w:t>給与所得者異動届出書」を、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令和４年４月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11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日（月）までに</w:t>
      </w:r>
      <w:r>
        <w:rPr>
          <w:rFonts w:hint="eastAsia" w:ascii="ＭＳ ゴシック" w:hAnsi="ＭＳ ゴシック" w:eastAsia="ＭＳ ゴシック"/>
          <w:sz w:val="22"/>
        </w:rPr>
        <w:t>提出してください。</w:t>
      </w:r>
    </w:p>
    <w:p>
      <w:pPr>
        <w:pStyle w:val="0"/>
        <w:spacing w:line="240" w:lineRule="auto"/>
        <w:ind w:left="440" w:hanging="440" w:hangingChars="200"/>
        <w:jc w:val="left"/>
        <w:rPr>
          <w:rFonts w:hint="default"/>
        </w:rPr>
      </w:pPr>
    </w:p>
    <w:p>
      <w:pPr>
        <w:pStyle w:val="0"/>
        <w:spacing w:line="240" w:lineRule="auto"/>
        <w:ind w:left="440" w:hanging="440" w:hangingChars="20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５．給与支払報告書（個人別明細書）に追加、訂正、取消が発生した場合</w:t>
      </w:r>
    </w:p>
    <w:p>
      <w:pPr>
        <w:pStyle w:val="0"/>
        <w:spacing w:line="240" w:lineRule="auto"/>
        <w:ind w:left="440" w:hanging="440" w:hangingChars="20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</w:t>
      </w:r>
      <w:r>
        <w:rPr>
          <w:rFonts w:hint="eastAsia" w:ascii="ＭＳ ゴシック" w:hAnsi="ＭＳ ゴシック" w:eastAsia="ＭＳ ゴシック"/>
          <w:w w:val="95"/>
          <w:sz w:val="21"/>
        </w:rPr>
        <w:t>別添「給与支払報告書（個人別明細書）に追加、訂正、取消が発生した場合」を参照ください。</w:t>
      </w:r>
    </w:p>
    <w:p>
      <w:pPr>
        <w:pStyle w:val="15"/>
        <w:spacing w:before="0" w:beforeLines="0" w:beforeAutospacing="0" w:after="0" w:afterLines="0" w:afterAutospacing="0" w:line="0" w:lineRule="atLeast"/>
        <w:ind w:left="0" w:leftChars="0" w:right="0" w:rightChars="0" w:firstLine="0" w:firstLineChars="0"/>
        <w:rPr>
          <w:rFonts w:hint="default" w:asciiTheme="majorEastAsia" w:hAnsiTheme="majorEastAsia" w:eastAsiaTheme="majorEastAsia"/>
          <w:kern w:val="2"/>
          <w:sz w:val="22"/>
        </w:rPr>
      </w:pPr>
    </w:p>
    <w:p>
      <w:pPr>
        <w:pStyle w:val="15"/>
        <w:spacing w:before="0" w:beforeLines="0" w:beforeAutospacing="0" w:after="0" w:afterLines="0" w:afterAutospacing="0" w:line="0" w:lineRule="atLeast"/>
        <w:ind w:left="0" w:leftChars="0" w:right="0" w:rightChars="0" w:firstLine="0" w:firstLineChars="0"/>
        <w:rPr>
          <w:rFonts w:hint="default" w:asciiTheme="majorEastAsia" w:hAnsiTheme="majorEastAsia" w:eastAsiaTheme="majorEastAsia"/>
          <w:kern w:val="2"/>
          <w:sz w:val="22"/>
        </w:rPr>
      </w:pPr>
    </w:p>
    <w:p>
      <w:pPr>
        <w:pStyle w:val="15"/>
        <w:spacing w:before="0" w:beforeLines="0" w:beforeAutospacing="0" w:after="0" w:afterLines="0" w:afterAutospacing="0" w:line="0" w:lineRule="atLeast"/>
        <w:ind w:left="0" w:leftChars="0" w:right="0" w:rightChars="0" w:firstLine="420" w:firstLineChars="200"/>
        <w:rPr>
          <w:rFonts w:hint="eastAsia" w:ascii="ＭＳ ゴシック" w:hAnsi="ＭＳ ゴシック" w:eastAsia="ＭＳ ゴシック"/>
          <w:kern w:val="2"/>
          <w:sz w:val="21"/>
        </w:rPr>
      </w:pPr>
      <w:r>
        <w:rPr>
          <w:rFonts w:hint="eastAsia" w:ascii="ＭＳ ゴシック" w:hAnsi="ＭＳ ゴシック" w:eastAsia="ＭＳ ゴシック"/>
          <w:b w:val="1"/>
          <w:kern w:val="2"/>
          <w:sz w:val="21"/>
        </w:rPr>
        <w:t>問い合わせ先</w:t>
      </w:r>
      <w:r>
        <w:rPr>
          <w:rFonts w:hint="eastAsia" w:ascii="ＭＳ ゴシック" w:hAnsi="ＭＳ ゴシック" w:eastAsia="ＭＳ ゴシック"/>
          <w:kern w:val="2"/>
          <w:sz w:val="21"/>
        </w:rPr>
        <w:t>　倉吉市役所</w:t>
      </w:r>
      <w:r>
        <w:rPr>
          <w:rFonts w:hint="eastAsia" w:ascii="ＭＳ ゴシック" w:hAnsi="ＭＳ ゴシック" w:eastAsia="ＭＳ ゴシック"/>
          <w:kern w:val="2"/>
          <w:sz w:val="21"/>
        </w:rPr>
        <w:t xml:space="preserve"> </w:t>
      </w:r>
      <w:r>
        <w:rPr>
          <w:rFonts w:hint="eastAsia" w:ascii="ＭＳ ゴシック" w:hAnsi="ＭＳ ゴシック" w:eastAsia="ＭＳ ゴシック"/>
          <w:kern w:val="2"/>
          <w:sz w:val="21"/>
        </w:rPr>
        <w:t>税務課</w:t>
      </w:r>
      <w:r>
        <w:rPr>
          <w:rFonts w:hint="eastAsia" w:ascii="ＭＳ ゴシック" w:hAnsi="ＭＳ ゴシック" w:eastAsia="ＭＳ ゴシック"/>
          <w:kern w:val="2"/>
          <w:sz w:val="21"/>
        </w:rPr>
        <w:t xml:space="preserve"> </w:t>
      </w:r>
      <w:r>
        <w:rPr>
          <w:rFonts w:hint="eastAsia" w:ascii="ＭＳ ゴシック" w:hAnsi="ＭＳ ゴシック" w:eastAsia="ＭＳ ゴシック"/>
          <w:kern w:val="2"/>
          <w:sz w:val="21"/>
        </w:rPr>
        <w:t>市民税係　</w:t>
      </w:r>
      <w:r>
        <w:rPr>
          <w:rFonts w:hint="eastAsia" w:ascii="ＭＳ ゴシック" w:hAnsi="ＭＳ ゴシック" w:eastAsia="ＭＳ ゴシック"/>
          <w:kern w:val="2"/>
          <w:sz w:val="21"/>
        </w:rPr>
        <w:t>TEL0858</w:t>
      </w:r>
      <w:r>
        <w:rPr>
          <w:rFonts w:hint="eastAsia" w:ascii="ＭＳ ゴシック" w:hAnsi="ＭＳ ゴシック" w:eastAsia="ＭＳ ゴシック"/>
          <w:kern w:val="2"/>
          <w:sz w:val="21"/>
        </w:rPr>
        <w:t>－</w:t>
      </w:r>
      <w:r>
        <w:rPr>
          <w:rFonts w:hint="eastAsia" w:ascii="ＭＳ ゴシック" w:hAnsi="ＭＳ ゴシック" w:eastAsia="ＭＳ ゴシック"/>
          <w:kern w:val="2"/>
          <w:sz w:val="21"/>
        </w:rPr>
        <w:t>22</w:t>
      </w:r>
      <w:r>
        <w:rPr>
          <w:rFonts w:hint="eastAsia" w:ascii="ＭＳ ゴシック" w:hAnsi="ＭＳ ゴシック" w:eastAsia="ＭＳ ゴシック"/>
          <w:kern w:val="2"/>
          <w:sz w:val="21"/>
        </w:rPr>
        <w:t>－</w:t>
      </w:r>
      <w:r>
        <w:rPr>
          <w:rFonts w:hint="eastAsia" w:ascii="ＭＳ ゴシック" w:hAnsi="ＭＳ ゴシック" w:eastAsia="ＭＳ ゴシック"/>
          <w:kern w:val="2"/>
          <w:sz w:val="21"/>
        </w:rPr>
        <w:t xml:space="preserve">8115 </w:t>
      </w:r>
      <w:r>
        <w:rPr>
          <w:rFonts w:hint="eastAsia" w:ascii="ＭＳ ゴシック" w:hAnsi="ＭＳ ゴシック" w:eastAsia="ＭＳ ゴシック"/>
          <w:kern w:val="2"/>
          <w:sz w:val="21"/>
        </w:rPr>
        <w:t>（直通）</w:t>
      </w:r>
    </w:p>
    <w:p>
      <w:pPr>
        <w:pStyle w:val="15"/>
        <w:spacing w:before="0" w:beforeLines="0" w:beforeAutospacing="0" w:after="0" w:afterLines="0" w:afterAutospacing="0" w:line="0" w:lineRule="atLeast"/>
        <w:ind w:left="0" w:leftChars="0" w:right="0" w:rightChars="0" w:firstLine="2160" w:firstLineChars="900"/>
        <w:rPr>
          <w:rFonts w:hint="eastAsia" w:ascii="ＭＳ ゴシック" w:hAnsi="ＭＳ ゴシック" w:eastAsia="ＭＳ ゴシック"/>
          <w:kern w:val="2"/>
          <w:sz w:val="21"/>
        </w:rPr>
      </w:pPr>
      <w:r>
        <w:rPr>
          <w:rFonts w:hint="eastAsia"/>
        </w:rPr>
        <w:drawing>
          <wp:anchor distT="0" distB="0" distL="114300" distR="114300" simplePos="0" relativeHeight="5" behindDoc="1" locked="0" layoutInCell="1" hidden="0" allowOverlap="1">
            <wp:simplePos x="0" y="0"/>
            <wp:positionH relativeFrom="column">
              <wp:posOffset>163195</wp:posOffset>
            </wp:positionH>
            <wp:positionV relativeFrom="paragraph">
              <wp:posOffset>57150</wp:posOffset>
            </wp:positionV>
            <wp:extent cx="957580" cy="999490"/>
            <wp:effectExtent l="0" t="0" r="0" b="0"/>
            <wp:wrapNone/>
            <wp:docPr id="1028" name="Picture 4" descr="C:\Users\osakim\Desktop\お辞儀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osakim\Desktop\お辞儀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ＭＳ ゴシック" w:hAnsi="ＭＳ ゴシック" w:eastAsia="ＭＳ ゴシック"/>
          <w:kern w:val="2"/>
          <w:sz w:val="21"/>
        </w:rPr>
        <w:t>※</w:t>
      </w:r>
      <w:r>
        <w:rPr>
          <w:rFonts w:hint="eastAsia" w:ascii="ＭＳ ゴシック" w:hAnsi="ＭＳ ゴシック" w:eastAsia="ＭＳ ゴシック"/>
          <w:kern w:val="2"/>
          <w:sz w:val="21"/>
        </w:rPr>
        <w:t>eLTAX</w:t>
      </w:r>
      <w:r>
        <w:rPr>
          <w:rFonts w:hint="eastAsia" w:ascii="ＭＳ ゴシック" w:hAnsi="ＭＳ ゴシック" w:eastAsia="ＭＳ ゴシック"/>
          <w:kern w:val="2"/>
          <w:sz w:val="21"/>
        </w:rPr>
        <w:t>についてはホームページをご確認ください。</w:t>
      </w:r>
    </w:p>
    <w:p>
      <w:pPr>
        <w:pStyle w:val="15"/>
        <w:spacing w:before="0" w:beforeLines="0" w:beforeAutospacing="0" w:after="0" w:afterLines="0" w:afterAutospacing="0" w:line="0" w:lineRule="atLeast"/>
        <w:ind w:left="0" w:leftChars="0" w:right="0" w:rightChars="0" w:firstLine="2160" w:firstLineChars="9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113665</wp:posOffset>
                </wp:positionV>
                <wp:extent cx="115570" cy="207645"/>
                <wp:effectExtent l="0" t="16510" r="24130" b="4191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 rot="18600000">
                          <a:off x="0" y="0"/>
                          <a:ext cx="115570" cy="20764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8.94pt;mso-position-vertical-relative:text;mso-position-horizontal-relative:text;position:absolute;height:16.350000000000001pt;mso-wrap-distance-top:0pt;width:9.1pt;mso-wrap-distance-left:5.65pt;margin-left:403.3pt;z-index:3;rotation:310;" o:spid="_x0000_s1029" o:allowincell="t" o:allowoverlap="t" filled="t" fillcolor="#ffffff [3201]" stroked="t" strokecolor="#000000 [3200]" strokeweight="1pt" o:spt="68" type="#_x0000_t68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kern w:val="2"/>
          <w:sz w:val="21"/>
        </w:rPr>
        <w:t>ﾎｰﾑﾍﾟｰｼﾞ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"https://www.eltax.lta.go.jp/"</w:instrText>
      </w:r>
      <w:r>
        <w:rPr>
          <w:rFonts w:hint="eastAsia"/>
        </w:rPr>
        <w:fldChar w:fldCharType="separate"/>
      </w:r>
      <w:r>
        <w:rPr>
          <w:rStyle w:val="16"/>
          <w:rFonts w:hint="eastAsia" w:ascii="ＭＳ ゴシック" w:hAnsi="ＭＳ ゴシック" w:eastAsia="ＭＳ ゴシック"/>
          <w:kern w:val="2"/>
          <w:sz w:val="21"/>
        </w:rPr>
        <w:t>https://www.eltax.lta.go.jp/</w:t>
      </w:r>
      <w:r>
        <w:rPr>
          <w:rFonts w:hint="eastAsia"/>
        </w:rPr>
        <w:fldChar w:fldCharType="end"/>
      </w:r>
      <w:r>
        <w:rPr>
          <w:rFonts w:hint="eastAsia" w:ascii="ＭＳ ゴシック" w:hAnsi="ＭＳ ゴシック" w:eastAsia="ＭＳ ゴシック"/>
          <w:kern w:val="2"/>
          <w:sz w:val="21"/>
        </w:rPr>
        <w:t>　　</w:t>
      </w:r>
      <w:r>
        <w:rPr>
          <w:rFonts w:hint="eastAsia" w:ascii="ＭＳ ゴシック" w:hAnsi="ＭＳ ゴシック" w:eastAsia="ＭＳ ゴシック"/>
          <w:kern w:val="2"/>
          <w:sz w:val="21"/>
          <w:bdr w:val="single" w:color="auto" w:sz="2" w:space="0"/>
        </w:rPr>
        <w:t>エルタックス</w:t>
      </w:r>
      <w:r>
        <w:rPr>
          <w:rFonts w:hint="eastAsia" w:ascii="ＭＳ ゴシック" w:hAnsi="ＭＳ ゴシック" w:eastAsia="ＭＳ ゴシック"/>
          <w:kern w:val="2"/>
          <w:sz w:val="21"/>
          <w:bdr w:val="none" w:color="auto" w:sz="0" w:space="0"/>
        </w:rPr>
        <w:t xml:space="preserve"> </w:t>
      </w:r>
      <w:r>
        <w:rPr>
          <w:rFonts w:hint="eastAsia" w:ascii="ＭＳ ゴシック" w:hAnsi="ＭＳ ゴシック" w:eastAsia="ＭＳ ゴシック"/>
          <w:spacing w:val="60"/>
          <w:kern w:val="2"/>
          <w:sz w:val="21"/>
          <w:highlight w:val="lightGray"/>
          <w:bdr w:val="single" w:color="auto" w:sz="4" w:space="0"/>
          <w:fitText w:val="550" w:id="2"/>
        </w:rPr>
        <w:t>検</w:t>
      </w:r>
      <w:r>
        <w:rPr>
          <w:rFonts w:hint="eastAsia" w:ascii="ＭＳ ゴシック" w:hAnsi="ＭＳ ゴシック" w:eastAsia="ＭＳ ゴシック"/>
          <w:kern w:val="2"/>
          <w:sz w:val="21"/>
          <w:highlight w:val="lightGray"/>
          <w:bdr w:val="single" w:color="auto" w:sz="4" w:space="0"/>
          <w:fitText w:val="550" w:id="2"/>
        </w:rPr>
        <w:t>索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Hyperlink"/>
    <w:basedOn w:val="10"/>
    <w:next w:val="16"/>
    <w:link w:val="0"/>
    <w:uiPriority w:val="0"/>
    <w:rPr>
      <w:color w:val="0563C1" w:themeColor="hyperlink"/>
      <w:u w:val="single" w:color="auto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image" Target="media/image1.emf" />
  <Relationship Id="rId6" Type="http://schemas.openxmlformats.org/officeDocument/2006/relationships/image" Target="media/image2.emf" />
  <Relationship Id="rId7" Type="http://schemas.openxmlformats.org/officeDocument/2006/relationships/image" Target="media/image3.png" />
  <Relationship Id="rId8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